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6-k.htm"/>
      <w:bookmarkStart w:id="1" w:name="ksform6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6_edei--DocumentType_c20260101__20"/>
      <w:bookmarkEnd w:id="2"/>
      <w:r>
        <w:rPr>
          <w:rFonts w:ascii="Times New Roman;Times;Serif" w:hAnsi="Times New Roman;Times;Serif"/>
          <w:b/>
          <w:i w:val="false"/>
          <w:caps w:val="false"/>
          <w:smallCaps w:val="false"/>
          <w:sz w:val="36"/>
        </w:rPr>
        <w:t>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13a-16 OR 15d-16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August </w:t>
      </w:r>
      <w:bookmarkStart w:id="3" w:name="xdx_90C_edei--DocumentFiscalYearFocus_c2"/>
      <w:bookmarkEnd w:id="3"/>
      <w:r>
        <w:rPr>
          <w:rFonts w:ascii="Times New Roman;Times;Serif" w:hAnsi="Times New Roman;Times;Serif"/>
          <w:b w:val="false"/>
          <w:i w:val="false"/>
          <w:caps w:val="false"/>
          <w:smallCaps w:val="false"/>
          <w:sz w:val="20"/>
        </w:rPr>
        <w:t>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bookmarkStart w:id="4" w:name="xdx_900_edei--EntityFileNumber_c20260101"/>
      <w:bookmarkEnd w:id="4"/>
      <w:r>
        <w:rPr>
          <w:rFonts w:ascii="Times New Roman;Times;Serif" w:hAnsi="Times New Roman;Times;Serif"/>
          <w:b w:val="false"/>
          <w:i w:val="false"/>
          <w:caps w:val="false"/>
          <w:smallCaps w:val="false"/>
          <w:sz w:val="20"/>
        </w:rPr>
        <w:t>001-42823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5" w:name="xdx_90D_edei--EntityRegistrantName_c2026"/>
      <w:bookmarkEnd w:id="5"/>
      <w:r>
        <w:rPr>
          <w:rFonts w:ascii="Times New Roman;Times;Serif" w:hAnsi="Times New Roman;Times;Serif"/>
          <w:b/>
          <w:i w:val="false"/>
          <w:caps w:val="false"/>
          <w:smallCaps w:val="false"/>
          <w:sz w:val="36"/>
        </w:rPr>
        <w:t>Fitness Champs Holdings Limited</w:t>
      </w:r>
    </w:p>
    <w:p>
      <w:pPr>
        <w:pStyle w:val="TextBody"/>
        <w:bidi w:val="0"/>
        <w:jc w:val="left"/>
        <w:rPr>
          <w:bdr w:val="single" w:sz="8" w:space="1" w:color="000000"/>
        </w:rPr>
      </w:pPr>
      <w:r>
        <w:rPr>
          <w:bdr w:val="single" w:sz="8" w:space="1" w:color="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tbl>
      <w:tblPr>
        <w:tblW w:w="4645" w:type="dxa"/>
        <w:jc w:val="left"/>
        <w:tblInd w:w="0" w:type="dxa"/>
        <w:tblLayout w:type="fixed"/>
        <w:tblCellMar>
          <w:top w:w="0" w:type="dxa"/>
          <w:left w:w="0" w:type="dxa"/>
          <w:bottom w:w="28" w:type="dxa"/>
          <w:right w:w="0" w:type="dxa"/>
        </w:tblCellMar>
      </w:tblPr>
      <w:tblGrid>
        <w:gridCol w:w="3665"/>
        <w:gridCol w:w="60"/>
        <w:gridCol w:w="920"/>
      </w:tblGrid>
      <w:tr>
        <w:trPr/>
        <w:tc>
          <w:tcPr>
            <w:tcW w:w="366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6" w:name="xdx_90D_edei--EntityAddressAddressLine1_"/>
            <w:bookmarkEnd w:id="6"/>
            <w:r>
              <w:rPr>
                <w:rFonts w:ascii="Times New Roman;Times;Serif" w:hAnsi="Times New Roman;Times;Serif"/>
                <w:b/>
                <w:i w:val="false"/>
                <w:caps w:val="false"/>
                <w:smallCaps w:val="false"/>
                <w:sz w:val="20"/>
              </w:rPr>
              <w:t xml:space="preserve">7030 Ang Mo Kio Street, </w:t>
            </w:r>
            <w:bookmarkStart w:id="7" w:name="xdx_900_edei--EntityAddressAddressLine2_"/>
            <w:bookmarkEnd w:id="7"/>
            <w:r>
              <w:rPr>
                <w:rFonts w:ascii="Times New Roman;Times;Serif" w:hAnsi="Times New Roman;Times;Serif"/>
                <w:b/>
                <w:i w:val="false"/>
                <w:caps w:val="false"/>
                <w:smallCaps w:val="false"/>
                <w:sz w:val="20"/>
              </w:rPr>
              <w:t xml:space="preserve">Avenue 5, </w:t>
            </w:r>
            <w:bookmarkStart w:id="8" w:name="xdx_904_edei--EntityAddressAddressLine3_"/>
            <w:bookmarkEnd w:id="8"/>
            <w:r>
              <w:rPr>
                <w:rFonts w:ascii="Times New Roman;Times;Serif" w:hAnsi="Times New Roman;Times;Serif"/>
                <w:b/>
                <w:i w:val="false"/>
                <w:caps w:val="false"/>
                <w:smallCaps w:val="false"/>
                <w:sz w:val="20"/>
              </w:rPr>
              <w:t>#04-48,</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E_edei--EntityAddressCityOrTown_c2"/>
            <w:bookmarkEnd w:id="9"/>
            <w:r>
              <w:rPr>
                <w:rFonts w:ascii="Times New Roman;Times;Serif" w:hAnsi="Times New Roman;Times;Serif"/>
                <w:b/>
                <w:i w:val="false"/>
                <w:caps w:val="false"/>
                <w:smallCaps w:val="false"/>
                <w:sz w:val="20"/>
              </w:rPr>
              <w:t xml:space="preserve">North Star@AMK, </w:t>
            </w:r>
            <w:bookmarkStart w:id="10" w:name="xdx_90A_edei--EntityAddressCountry_c2026"/>
            <w:bookmarkEnd w:id="10"/>
            <w:r>
              <w:rPr>
                <w:rFonts w:ascii="Times New Roman;Times;Serif" w:hAnsi="Times New Roman;Times;Serif"/>
                <w:b/>
                <w:i w:val="false"/>
                <w:caps w:val="false"/>
                <w:smallCaps w:val="false"/>
                <w:sz w:val="20"/>
              </w:rPr>
              <w:t>Singapore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8_edei--EntityAddressPostalZipCode"/>
            <w:bookmarkEnd w:id="11"/>
            <w:r>
              <w:rPr>
                <w:rFonts w:ascii="Times New Roman;Times;Serif" w:hAnsi="Times New Roman;Times;Serif"/>
                <w:b/>
                <w:i w:val="false"/>
                <w:caps w:val="false"/>
                <w:smallCaps w:val="false"/>
                <w:sz w:val="20"/>
              </w:rPr>
              <w:t>569880</w:t>
            </w:r>
          </w:p>
        </w:tc>
      </w:tr>
      <w:tr>
        <w:trPr/>
        <w:tc>
          <w:tcPr>
            <w:tcW w:w="36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 Form 20-F ☒ Form 40-F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by furnishing the information contained in this Form is also thereby furnishing the information to the Commission pursuant to Rule 12g3-2(b) under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“Yes” is marked, indicate below the file number assigned to the registrant in connection with Rule 12g3-2(b):</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REPORT ON FORM 6-K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 Interim Condensed Financial Results for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2026, Fitness Champs Holdings Limited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released its unaudited interim condensed financial statements for the six months ended June 30, 2026 (the “</w:t>
      </w:r>
      <w:r>
        <w:rPr>
          <w:rFonts w:ascii="Times New Roman;Times;Serif" w:hAnsi="Times New Roman;Times;Serif"/>
          <w:b w:val="false"/>
          <w:i w:val="false"/>
          <w:caps w:val="false"/>
          <w:smallCaps w:val="false"/>
          <w:sz w:val="20"/>
          <w:u w:val="single"/>
        </w:rPr>
        <w:t>Six-Month Financials</w:t>
      </w:r>
      <w:r>
        <w:rPr>
          <w:rFonts w:ascii="Times New Roman;Times;Serif" w:hAnsi="Times New Roman;Times;Serif"/>
          <w:b w:val="false"/>
          <w:i w:val="false"/>
          <w:caps w:val="false"/>
          <w:smallCaps w:val="false"/>
          <w:sz w:val="20"/>
        </w:rPr>
        <w:t>”). In addition, the Company released certain supplementary financial information relating to the six months ended June 30, 2026 (“</w:t>
      </w:r>
      <w:r>
        <w:rPr>
          <w:rFonts w:ascii="Times New Roman;Times;Serif" w:hAnsi="Times New Roman;Times;Serif"/>
          <w:b w:val="false"/>
          <w:i w:val="false"/>
          <w:caps w:val="false"/>
          <w:smallCaps w:val="false"/>
          <w:sz w:val="20"/>
          <w:u w:val="single"/>
        </w:rPr>
        <w:t>Supplemental Financial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Supplemental Financial Information and the Six-Month Financials are attached as Exhibit 99.1 and Exhibit 99.2, respectively, to this Report on Form 6-K.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Index</w:t>
      </w:r>
    </w:p>
    <w:p>
      <w:pPr>
        <w:pStyle w:val="TextBody"/>
        <w:bidi w:val="0"/>
        <w:spacing w:before="0" w:after="0"/>
        <w:ind w:left="0" w:right="0" w:hanging="0"/>
        <w:jc w:val="both"/>
        <w:rPr>
          <w:caps w:val="false"/>
          <w:smallCaps w:val="false"/>
        </w:rPr>
      </w:pPr>
      <w:r>
        <w:rPr>
          <w:caps w:val="false"/>
          <w:smallCaps w:val="false"/>
        </w:rPr>
        <w:t> </w:t>
      </w:r>
    </w:p>
    <w:tbl>
      <w:tblPr>
        <w:tblW w:w="8995" w:type="dxa"/>
        <w:jc w:val="left"/>
        <w:tblInd w:w="0" w:type="dxa"/>
        <w:tblLayout w:type="fixed"/>
        <w:tblCellMar>
          <w:top w:w="0" w:type="dxa"/>
          <w:left w:w="0" w:type="dxa"/>
          <w:bottom w:w="28" w:type="dxa"/>
          <w:right w:w="0" w:type="dxa"/>
        </w:tblCellMar>
      </w:tblPr>
      <w:tblGrid>
        <w:gridCol w:w="1400"/>
        <w:gridCol w:w="60"/>
        <w:gridCol w:w="7535"/>
      </w:tblGrid>
      <w:tr>
        <w:trPr/>
        <w:tc>
          <w:tcPr>
            <w:tcW w:w="140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3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r>
      <w:tr>
        <w:trPr/>
        <w:tc>
          <w:tcPr>
            <w:tcW w:w="14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35" w:type="dxa"/>
            <w:tcBorders/>
            <w:shd w:fill="CCEEFF" w:val="clear"/>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Supplemental Financial Information Relating to the Six Months Ended June 30, 2026</w:t>
              </w:r>
            </w:hyperlink>
          </w:p>
        </w:tc>
      </w:tr>
      <w:tr>
        <w:trPr/>
        <w:tc>
          <w:tcPr>
            <w:tcW w:w="14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35" w:type="dxa"/>
            <w:tcBorders/>
            <w:shd w:fill="FFFFFF" w:val="clear"/>
            <w:tcMar>
              <w:bottom w:w="0" w:type="dxa"/>
            </w:tcMar>
            <w:vAlign w:val="center"/>
          </w:tcPr>
          <w:p>
            <w:pPr>
              <w:pStyle w:val="TableContents"/>
              <w:bidi w:val="0"/>
              <w:spacing w:before="0" w:after="283"/>
              <w:jc w:val="left"/>
              <w:rPr/>
            </w:pPr>
            <w:hyperlink w:anchor="ex99-2.htm">
              <w:r>
                <w:rPr>
                  <w:rStyle w:val="InternetLink"/>
                  <w:rFonts w:ascii="Times New Roman;Times;Serif" w:hAnsi="Times New Roman;Times;Serif"/>
                  <w:b w:val="false"/>
                  <w:i w:val="false"/>
                  <w:caps w:val="false"/>
                  <w:smallCaps w:val="false"/>
                  <w:sz w:val="20"/>
                </w:rPr>
                <w:t>Unaudited Interim Condensed Financial Statements for the Six Months Ended June 30, 2026</w:t>
              </w:r>
            </w:hyperlink>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5975" w:type="dxa"/>
        <w:jc w:val="left"/>
        <w:tblInd w:w="0" w:type="dxa"/>
        <w:tblLayout w:type="fixed"/>
        <w:tblCellMar>
          <w:top w:w="0" w:type="dxa"/>
          <w:left w:w="0" w:type="dxa"/>
          <w:bottom w:w="0" w:type="dxa"/>
          <w:right w:w="0" w:type="dxa"/>
        </w:tblCellMar>
      </w:tblPr>
      <w:tblGrid>
        <w:gridCol w:w="470"/>
        <w:gridCol w:w="1370"/>
        <w:gridCol w:w="260"/>
        <w:gridCol w:w="3875"/>
      </w:tblGrid>
      <w:tr>
        <w:trPr/>
        <w:tc>
          <w:tcPr>
            <w:tcW w:w="470" w:type="dxa"/>
            <w:tcBorders/>
            <w:vAlign w:val="center"/>
          </w:tcPr>
          <w:p>
            <w:pPr>
              <w:pStyle w:val="TableContents"/>
              <w:bidi w:val="0"/>
              <w:spacing w:before="0" w:after="283"/>
              <w:jc w:val="both"/>
              <w:rPr>
                <w:caps w:val="false"/>
                <w:smallCaps w:val="false"/>
              </w:rPr>
            </w:pPr>
            <w:r>
              <w:rPr>
                <w:caps w:val="false"/>
                <w:smallCaps w:val="false"/>
              </w:rPr>
              <w:t> </w:t>
            </w:r>
          </w:p>
        </w:tc>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413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Fitness Champs Holdings Limited</w:t>
            </w:r>
          </w:p>
        </w:tc>
      </w:tr>
      <w:tr>
        <w:trPr/>
        <w:tc>
          <w:tcPr>
            <w:tcW w:w="470" w:type="dxa"/>
            <w:tcBorders/>
            <w:vAlign w:val="center"/>
          </w:tcPr>
          <w:p>
            <w:pPr>
              <w:pStyle w:val="TableContents"/>
              <w:bidi w:val="0"/>
              <w:spacing w:before="0" w:after="283"/>
              <w:jc w:val="both"/>
              <w:rPr>
                <w:caps w:val="false"/>
                <w:smallCaps w:val="false"/>
              </w:rPr>
            </w:pPr>
            <w:r>
              <w:rPr>
                <w:caps w:val="false"/>
                <w:smallCaps w:val="false"/>
              </w:rPr>
              <w:t> </w:t>
            </w:r>
          </w:p>
        </w:tc>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413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27, 2026</w:t>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Joyce Lee Jue Hui</w:t>
            </w:r>
          </w:p>
        </w:tc>
      </w:tr>
      <w:tr>
        <w:trPr/>
        <w:tc>
          <w:tcPr>
            <w:tcW w:w="470" w:type="dxa"/>
            <w:tcBorders/>
            <w:vAlign w:val="center"/>
          </w:tcPr>
          <w:p>
            <w:pPr>
              <w:pStyle w:val="TableContents"/>
              <w:bidi w:val="0"/>
              <w:spacing w:before="0" w:after="283"/>
              <w:jc w:val="both"/>
              <w:rPr>
                <w:caps w:val="false"/>
                <w:smallCaps w:val="false"/>
              </w:rPr>
            </w:pPr>
            <w:r>
              <w:rPr>
                <w:caps w:val="false"/>
                <w:smallCaps w:val="false"/>
              </w:rPr>
              <w:t> </w:t>
            </w:r>
          </w:p>
        </w:tc>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both"/>
              <w:rPr>
                <w:caps w:val="false"/>
                <w:smallCaps w:val="false"/>
              </w:rPr>
            </w:pPr>
            <w:r>
              <w:rPr>
                <w:caps w:val="false"/>
                <w:smallCaps w:val="false"/>
              </w:rPr>
              <w:t> </w:t>
            </w:r>
          </w:p>
        </w:tc>
        <w:tc>
          <w:tcPr>
            <w:tcW w:w="3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Joyce Lee Jue Hui</w:t>
            </w:r>
          </w:p>
        </w:tc>
      </w:tr>
      <w:tr>
        <w:trPr/>
        <w:tc>
          <w:tcPr>
            <w:tcW w:w="470" w:type="dxa"/>
            <w:tcBorders/>
            <w:vAlign w:val="center"/>
          </w:tcPr>
          <w:p>
            <w:pPr>
              <w:pStyle w:val="TableContents"/>
              <w:bidi w:val="0"/>
              <w:spacing w:before="0" w:after="283"/>
              <w:jc w:val="both"/>
              <w:rPr>
                <w:caps w:val="false"/>
                <w:smallCaps w:val="false"/>
              </w:rPr>
            </w:pPr>
            <w:r>
              <w:rPr>
                <w:caps w:val="false"/>
                <w:smallCaps w:val="false"/>
              </w:rPr>
              <w:t> </w:t>
            </w:r>
          </w:p>
        </w:tc>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both"/>
              <w:rPr>
                <w:caps w:val="false"/>
                <w:smallCaps w:val="false"/>
              </w:rPr>
            </w:pPr>
            <w:r>
              <w:rPr>
                <w:caps w:val="false"/>
                <w:smallCaps w:val="false"/>
              </w:rPr>
              <w:t> </w:t>
            </w:r>
          </w:p>
        </w:tc>
        <w:tc>
          <w:tcPr>
            <w:tcW w:w="3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Executive Director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12" w:name="ex99-1.htm"/>
      <w:bookmarkStart w:id="13" w:name="ksex991"/>
      <w:bookmarkEnd w:id="12"/>
      <w:bookmarkEnd w:id="1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 FOR THE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operational data for the six months ended June 30, 2025 and 2026:</w:t>
      </w:r>
    </w:p>
    <w:p>
      <w:pPr>
        <w:pStyle w:val="TextBody"/>
        <w:bidi w:val="0"/>
        <w:spacing w:before="0" w:after="0"/>
        <w:ind w:left="0" w:right="0" w:hanging="0"/>
        <w:jc w:val="both"/>
        <w:rPr>
          <w:caps w:val="false"/>
          <w:smallCaps w:val="false"/>
        </w:rPr>
      </w:pPr>
      <w:r>
        <w:rPr>
          <w:caps w:val="false"/>
          <w:smallCaps w:val="false"/>
        </w:rPr>
        <w:t> </w:t>
      </w:r>
    </w:p>
    <w:tbl>
      <w:tblPr>
        <w:tblW w:w="6833" w:type="dxa"/>
        <w:jc w:val="left"/>
        <w:tblInd w:w="0" w:type="dxa"/>
        <w:tblLayout w:type="fixed"/>
        <w:tblCellMar>
          <w:top w:w="0" w:type="dxa"/>
          <w:left w:w="0" w:type="dxa"/>
          <w:bottom w:w="0" w:type="dxa"/>
          <w:right w:w="0" w:type="dxa"/>
        </w:tblCellMar>
      </w:tblPr>
      <w:tblGrid>
        <w:gridCol w:w="3800"/>
        <w:gridCol w:w="60"/>
        <w:gridCol w:w="72"/>
        <w:gridCol w:w="762"/>
        <w:gridCol w:w="168"/>
        <w:gridCol w:w="72"/>
        <w:gridCol w:w="72"/>
        <w:gridCol w:w="762"/>
        <w:gridCol w:w="95"/>
        <w:gridCol w:w="60"/>
        <w:gridCol w:w="60"/>
        <w:gridCol w:w="740"/>
        <w:gridCol w:w="110"/>
      </w:tblGrid>
      <w:tr>
        <w:trPr/>
        <w:tc>
          <w:tcPr>
            <w:tcW w:w="3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08" w:type="dxa"/>
            <w:gridSpan w:val="6"/>
            <w:tcBorders/>
            <w:vAlign w:val="center"/>
          </w:tcPr>
          <w:p>
            <w:pPr>
              <w:pStyle w:val="TableContents"/>
              <w:bidi w:val="0"/>
              <w:spacing w:before="0" w:after="283"/>
              <w:jc w:val="center"/>
              <w:rPr>
                <w:b/>
              </w:rPr>
            </w:pPr>
            <w:r>
              <w:rPr>
                <w:b/>
              </w:rPr>
              <w:t>Six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0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68"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72" w:type="dxa"/>
            <w:tcBorders/>
            <w:shd w:fill="FFFFFF" w:val="clear"/>
            <w:vAlign w:val="center"/>
          </w:tcPr>
          <w:p>
            <w:pPr>
              <w:pStyle w:val="TableContents"/>
              <w:bidi w:val="0"/>
              <w:spacing w:before="0" w:after="283"/>
              <w:jc w:val="center"/>
              <w:rPr/>
            </w:pPr>
            <w:r>
              <w:rPr/>
              <w:t> </w:t>
            </w:r>
          </w:p>
        </w:tc>
        <w:tc>
          <w:tcPr>
            <w:tcW w:w="762"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S$’000</w:t>
            </w:r>
          </w:p>
        </w:tc>
        <w:tc>
          <w:tcPr>
            <w:tcW w:w="168" w:type="dxa"/>
            <w:tcBorders/>
            <w:shd w:fill="FFFFFF" w:val="clear"/>
            <w:vAlign w:val="center"/>
          </w:tcPr>
          <w:p>
            <w:pPr>
              <w:pStyle w:val="TableContents"/>
              <w:bidi w:val="0"/>
              <w:spacing w:before="0" w:after="283"/>
              <w:jc w:val="center"/>
              <w:rPr/>
            </w:pPr>
            <w:r>
              <w:rPr/>
              <w:t> </w:t>
            </w:r>
          </w:p>
        </w:tc>
        <w:tc>
          <w:tcPr>
            <w:tcW w:w="72" w:type="dxa"/>
            <w:tcBorders/>
            <w:shd w:fill="FFFFFF" w:val="clear"/>
            <w:vAlign w:val="center"/>
          </w:tcPr>
          <w:p>
            <w:pPr>
              <w:pStyle w:val="TableContents"/>
              <w:bidi w:val="0"/>
              <w:spacing w:before="0" w:after="283"/>
              <w:jc w:val="center"/>
              <w:rPr/>
            </w:pPr>
            <w:r>
              <w:rPr/>
              <w:t> </w:t>
            </w:r>
          </w:p>
        </w:tc>
        <w:tc>
          <w:tcPr>
            <w:tcW w:w="72" w:type="dxa"/>
            <w:tcBorders/>
            <w:shd w:fill="FFFFFF" w:val="clear"/>
            <w:vAlign w:val="center"/>
          </w:tcPr>
          <w:p>
            <w:pPr>
              <w:pStyle w:val="TableContents"/>
              <w:bidi w:val="0"/>
              <w:spacing w:before="0" w:after="283"/>
              <w:jc w:val="center"/>
              <w:rPr/>
            </w:pPr>
            <w:r>
              <w:rPr/>
              <w:t> </w:t>
            </w:r>
          </w:p>
        </w:tc>
        <w:tc>
          <w:tcPr>
            <w:tcW w:w="762"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S$’000</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740"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US$’000</w:t>
            </w:r>
          </w:p>
        </w:tc>
        <w:tc>
          <w:tcPr>
            <w:tcW w:w="110" w:type="dxa"/>
            <w:tcBorders/>
            <w:shd w:fill="FFFFFF" w:val="clear"/>
            <w:vAlign w:val="center"/>
          </w:tcPr>
          <w:p>
            <w:pPr>
              <w:pStyle w:val="TableContents"/>
              <w:bidi w:val="0"/>
              <w:spacing w:before="0" w:after="283"/>
              <w:jc w:val="center"/>
              <w:rPr/>
            </w:pPr>
            <w:r>
              <w:rPr/>
              <w:t> </w:t>
            </w:r>
          </w:p>
        </w:tc>
      </w:tr>
      <w:tr>
        <w:trPr/>
        <w:tc>
          <w:tcPr>
            <w:tcW w:w="380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2,162</w:t>
            </w:r>
          </w:p>
        </w:tc>
        <w:tc>
          <w:tcPr>
            <w:tcW w:w="16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2,045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1,580</w:t>
            </w:r>
          </w:p>
        </w:tc>
        <w:tc>
          <w:tcPr>
            <w:tcW w:w="11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b/>
              </w:rPr>
            </w:pPr>
            <w:r>
              <w:rPr>
                <w:b/>
              </w:rPr>
              <w:t>Cost of revenues</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FFFFFF" w:val="clear"/>
            <w:tcMar>
              <w:bottom w:w="28" w:type="dxa"/>
            </w:tcMar>
            <w:vAlign w:val="center"/>
          </w:tcPr>
          <w:p>
            <w:pPr>
              <w:pStyle w:val="TableContents"/>
              <w:bidi w:val="0"/>
              <w:spacing w:before="0" w:after="283"/>
              <w:jc w:val="right"/>
              <w:rPr/>
            </w:pPr>
            <w:r>
              <w:rPr/>
              <w:t>(1,538</w:t>
            </w:r>
          </w:p>
        </w:tc>
        <w:tc>
          <w:tcPr>
            <w:tcW w:w="168"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FFFFFF" w:val="clear"/>
            <w:tcMar>
              <w:bottom w:w="28" w:type="dxa"/>
            </w:tcMar>
            <w:vAlign w:val="center"/>
          </w:tcPr>
          <w:p>
            <w:pPr>
              <w:pStyle w:val="TableContents"/>
              <w:bidi w:val="0"/>
              <w:spacing w:before="0" w:after="283"/>
              <w:jc w:val="right"/>
              <w:rPr/>
            </w:pPr>
            <w:r>
              <w:rPr/>
              <w:t>(1,599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pPr>
            <w:r>
              <w:rPr/>
              <w:t>(1,236</w:t>
            </w:r>
          </w:p>
        </w:tc>
        <w:tc>
          <w:tcPr>
            <w:tcW w:w="110" w:type="dxa"/>
            <w:tcBorders/>
            <w:shd w:fill="FFFFFF" w:val="clear"/>
            <w:vAlign w:val="center"/>
          </w:tcPr>
          <w:p>
            <w:pPr>
              <w:pStyle w:val="TableContents"/>
              <w:bidi w:val="0"/>
              <w:spacing w:before="0" w:after="283"/>
              <w:jc w:val="left"/>
              <w:rPr/>
            </w:pPr>
            <w:r>
              <w:rPr/>
              <w:t>)</w:t>
            </w:r>
          </w:p>
        </w:tc>
      </w:tr>
      <w:tr>
        <w:trPr/>
        <w:tc>
          <w:tcPr>
            <w:tcW w:w="380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CCEEFF" w:val="clear"/>
            <w:tcMar>
              <w:bottom w:w="28" w:type="dxa"/>
            </w:tcMar>
            <w:vAlign w:val="center"/>
          </w:tcPr>
          <w:p>
            <w:pPr>
              <w:pStyle w:val="TableContents"/>
              <w:bidi w:val="0"/>
              <w:spacing w:before="0" w:after="283"/>
              <w:jc w:val="right"/>
              <w:rPr/>
            </w:pPr>
            <w:r>
              <w:rPr/>
              <w:t>624</w:t>
            </w:r>
          </w:p>
        </w:tc>
        <w:tc>
          <w:tcPr>
            <w:tcW w:w="16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CCEEFF" w:val="clear"/>
            <w:tcMar>
              <w:bottom w:w="28" w:type="dxa"/>
            </w:tcMar>
            <w:vAlign w:val="center"/>
          </w:tcPr>
          <w:p>
            <w:pPr>
              <w:pStyle w:val="TableContents"/>
              <w:bidi w:val="0"/>
              <w:spacing w:before="0" w:after="283"/>
              <w:jc w:val="right"/>
              <w:rPr/>
            </w:pPr>
            <w:r>
              <w:rPr/>
              <w:t>446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pPr>
            <w:r>
              <w:rPr/>
              <w:t>344</w:t>
            </w:r>
          </w:p>
        </w:tc>
        <w:tc>
          <w:tcPr>
            <w:tcW w:w="11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Selling and distribution expenses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(205</w:t>
            </w:r>
          </w:p>
        </w:tc>
        <w:tc>
          <w:tcPr>
            <w:tcW w:w="168"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(296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(229</w:t>
            </w:r>
          </w:p>
        </w:tc>
        <w:tc>
          <w:tcPr>
            <w:tcW w:w="110" w:type="dxa"/>
            <w:tcBorders/>
            <w:shd w:fill="CCEEFF" w:val="clear"/>
            <w:vAlign w:val="center"/>
          </w:tcPr>
          <w:p>
            <w:pPr>
              <w:pStyle w:val="TableContents"/>
              <w:bidi w:val="0"/>
              <w:spacing w:before="0" w:after="283"/>
              <w:jc w:val="left"/>
              <w:rPr/>
            </w:pPr>
            <w:r>
              <w:rPr/>
              <w:t>)</w:t>
            </w:r>
          </w:p>
        </w:tc>
      </w:tr>
      <w:tr>
        <w:trPr/>
        <w:tc>
          <w:tcPr>
            <w:tcW w:w="3800"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FFFFFF" w:val="clear"/>
            <w:tcMar>
              <w:bottom w:w="28" w:type="dxa"/>
            </w:tcMar>
            <w:vAlign w:val="center"/>
          </w:tcPr>
          <w:p>
            <w:pPr>
              <w:pStyle w:val="TableContents"/>
              <w:bidi w:val="0"/>
              <w:spacing w:before="0" w:after="283"/>
              <w:jc w:val="right"/>
              <w:rPr/>
            </w:pPr>
            <w:r>
              <w:rPr/>
              <w:t>(763</w:t>
            </w:r>
          </w:p>
        </w:tc>
        <w:tc>
          <w:tcPr>
            <w:tcW w:w="168"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FFFFFF" w:val="clear"/>
            <w:tcMar>
              <w:bottom w:w="28" w:type="dxa"/>
            </w:tcMar>
            <w:vAlign w:val="center"/>
          </w:tcPr>
          <w:p>
            <w:pPr>
              <w:pStyle w:val="TableContents"/>
              <w:bidi w:val="0"/>
              <w:spacing w:before="0" w:after="283"/>
              <w:jc w:val="right"/>
              <w:rPr/>
            </w:pPr>
            <w:r>
              <w:rPr/>
              <w:t>(3,586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pPr>
            <w:r>
              <w:rPr/>
              <w:t>(2,770</w:t>
            </w:r>
          </w:p>
        </w:tc>
        <w:tc>
          <w:tcPr>
            <w:tcW w:w="110" w:type="dxa"/>
            <w:tcBorders/>
            <w:shd w:fill="FFFFFF" w:val="clear"/>
            <w:vAlign w:val="center"/>
          </w:tcPr>
          <w:p>
            <w:pPr>
              <w:pStyle w:val="TableContents"/>
              <w:bidi w:val="0"/>
              <w:spacing w:before="0" w:after="283"/>
              <w:jc w:val="left"/>
              <w:rPr/>
            </w:pPr>
            <w:r>
              <w:rPr/>
              <w:t>)</w:t>
            </w:r>
          </w:p>
        </w:tc>
      </w:tr>
      <w:tr>
        <w:trPr/>
        <w:tc>
          <w:tcPr>
            <w:tcW w:w="380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CCEEFF" w:val="clear"/>
            <w:tcMar>
              <w:bottom w:w="28" w:type="dxa"/>
            </w:tcMar>
            <w:vAlign w:val="center"/>
          </w:tcPr>
          <w:p>
            <w:pPr>
              <w:pStyle w:val="TableContents"/>
              <w:bidi w:val="0"/>
              <w:spacing w:before="0" w:after="283"/>
              <w:jc w:val="right"/>
              <w:rPr/>
            </w:pPr>
            <w:r>
              <w:rPr/>
              <w:t>(968</w:t>
            </w:r>
          </w:p>
        </w:tc>
        <w:tc>
          <w:tcPr>
            <w:tcW w:w="168"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CCEEFF" w:val="clear"/>
            <w:tcMar>
              <w:bottom w:w="28" w:type="dxa"/>
            </w:tcMar>
            <w:vAlign w:val="center"/>
          </w:tcPr>
          <w:p>
            <w:pPr>
              <w:pStyle w:val="TableContents"/>
              <w:bidi w:val="0"/>
              <w:spacing w:before="0" w:after="283"/>
              <w:jc w:val="right"/>
              <w:rPr/>
            </w:pPr>
            <w:r>
              <w:rPr/>
              <w:t>(3,882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pPr>
            <w:r>
              <w:rPr/>
              <w:t>(2,999</w:t>
            </w:r>
          </w:p>
        </w:tc>
        <w:tc>
          <w:tcPr>
            <w:tcW w:w="110" w:type="dxa"/>
            <w:tcBorders/>
            <w:shd w:fill="CCEEFF" w:val="clear"/>
            <w:vAlign w:val="center"/>
          </w:tcPr>
          <w:p>
            <w:pPr>
              <w:pStyle w:val="TableContents"/>
              <w:bidi w:val="0"/>
              <w:spacing w:before="0" w:after="283"/>
              <w:jc w:val="left"/>
              <w:rPr/>
            </w:pPr>
            <w:r>
              <w:rPr/>
              <w:t>)</w:t>
            </w:r>
          </w:p>
        </w:tc>
      </w:tr>
      <w:tr>
        <w:trPr/>
        <w:tc>
          <w:tcPr>
            <w:tcW w:w="3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CCEEFF" w:val="clear"/>
            <w:tcMar>
              <w:bottom w:w="28" w:type="dxa"/>
            </w:tcMar>
            <w:vAlign w:val="center"/>
          </w:tcPr>
          <w:p>
            <w:pPr>
              <w:pStyle w:val="TableContents"/>
              <w:bidi w:val="0"/>
              <w:spacing w:before="0" w:after="283"/>
              <w:jc w:val="right"/>
              <w:rPr/>
            </w:pPr>
            <w:r>
              <w:rPr/>
              <w:t>(344</w:t>
            </w:r>
          </w:p>
        </w:tc>
        <w:tc>
          <w:tcPr>
            <w:tcW w:w="168"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CCEEFF" w:val="clear"/>
            <w:tcMar>
              <w:bottom w:w="28" w:type="dxa"/>
            </w:tcMar>
            <w:vAlign w:val="center"/>
          </w:tcPr>
          <w:p>
            <w:pPr>
              <w:pStyle w:val="TableContents"/>
              <w:bidi w:val="0"/>
              <w:spacing w:before="0" w:after="283"/>
              <w:jc w:val="right"/>
              <w:rPr/>
            </w:pPr>
            <w:r>
              <w:rPr/>
              <w:t>(3,436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pPr>
            <w:r>
              <w:rPr/>
              <w:t>(2,655</w:t>
            </w:r>
          </w:p>
        </w:tc>
        <w:tc>
          <w:tcPr>
            <w:tcW w:w="110" w:type="dxa"/>
            <w:tcBorders/>
            <w:shd w:fill="CCEEFF" w:val="clear"/>
            <w:vAlign w:val="center"/>
          </w:tcPr>
          <w:p>
            <w:pPr>
              <w:pStyle w:val="TableContents"/>
              <w:bidi w:val="0"/>
              <w:spacing w:before="0" w:after="283"/>
              <w:jc w:val="left"/>
              <w:rPr/>
            </w:pPr>
            <w:r>
              <w:rPr/>
              <w:t>)</w:t>
            </w:r>
          </w:p>
        </w:tc>
      </w:tr>
      <w:tr>
        <w:trPr/>
        <w:tc>
          <w:tcPr>
            <w:tcW w:w="3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b/>
              </w:rPr>
            </w:pPr>
            <w:r>
              <w:rPr>
                <w:b/>
              </w:rPr>
              <w:t>Other income (expense)</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 </w:t>
            </w:r>
          </w:p>
        </w:tc>
        <w:tc>
          <w:tcPr>
            <w:tcW w:w="16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w:t>
            </w:r>
          </w:p>
        </w:tc>
        <w:tc>
          <w:tcPr>
            <w:tcW w:w="168"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16</w:t>
            </w:r>
          </w:p>
        </w:tc>
        <w:tc>
          <w:tcPr>
            <w:tcW w:w="110"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(11</w:t>
            </w:r>
          </w:p>
        </w:tc>
        <w:tc>
          <w:tcPr>
            <w:tcW w:w="168"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(5</w:t>
            </w:r>
          </w:p>
        </w:tc>
        <w:tc>
          <w:tcPr>
            <w:tcW w:w="110" w:type="dxa"/>
            <w:tcBorders/>
            <w:shd w:fill="CCEEFF" w:val="clear"/>
            <w:vAlign w:val="center"/>
          </w:tcPr>
          <w:p>
            <w:pPr>
              <w:pStyle w:val="TableContents"/>
              <w:bidi w:val="0"/>
              <w:spacing w:before="0" w:after="283"/>
              <w:jc w:val="left"/>
              <w:rPr/>
            </w:pPr>
            <w:r>
              <w:rPr/>
              <w:t>)</w:t>
            </w:r>
          </w:p>
        </w:tc>
      </w:tr>
      <w:tr>
        <w:trPr/>
        <w:tc>
          <w:tcPr>
            <w:tcW w:w="3800" w:type="dxa"/>
            <w:tcBorders/>
            <w:shd w:fill="FFFFFF" w:val="clear"/>
            <w:vAlign w:val="center"/>
          </w:tcPr>
          <w:p>
            <w:pPr>
              <w:pStyle w:val="TableContents"/>
              <w:bidi w:val="0"/>
              <w:spacing w:before="0" w:after="283"/>
              <w:jc w:val="left"/>
              <w:rPr/>
            </w:pPr>
            <w:r>
              <w:rPr/>
              <w:t>Government grants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91</w:t>
            </w:r>
          </w:p>
        </w:tc>
        <w:tc>
          <w:tcPr>
            <w:tcW w:w="16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10</w:t>
            </w:r>
          </w:p>
        </w:tc>
        <w:tc>
          <w:tcPr>
            <w:tcW w:w="110"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Rental income</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CCEEFF" w:val="clear"/>
            <w:tcMar>
              <w:bottom w:w="28" w:type="dxa"/>
            </w:tcMar>
            <w:vAlign w:val="center"/>
          </w:tcPr>
          <w:p>
            <w:pPr>
              <w:pStyle w:val="TableContents"/>
              <w:bidi w:val="0"/>
              <w:spacing w:before="0" w:after="283"/>
              <w:jc w:val="right"/>
              <w:rPr/>
            </w:pPr>
            <w:r>
              <w:rPr/>
              <w:t>16</w:t>
            </w:r>
          </w:p>
        </w:tc>
        <w:tc>
          <w:tcPr>
            <w:tcW w:w="16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CCEEFF" w:val="clear"/>
            <w:tcMar>
              <w:bottom w:w="28" w:type="dxa"/>
            </w:tcMar>
            <w:vAlign w:val="center"/>
          </w:tcPr>
          <w:p>
            <w:pPr>
              <w:pStyle w:val="TableContents"/>
              <w:bidi w:val="0"/>
              <w:spacing w:before="0" w:after="283"/>
              <w:jc w:val="right"/>
              <w:rPr/>
            </w:pPr>
            <w:r>
              <w:rPr/>
              <w:t>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pPr>
            <w:r>
              <w:rPr/>
              <w:t>12</w:t>
            </w:r>
          </w:p>
        </w:tc>
        <w:tc>
          <w:tcPr>
            <w:tcW w:w="11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b/>
              </w:rPr>
            </w:pPr>
            <w:r>
              <w:rPr>
                <w:b/>
              </w:rPr>
              <w:t>Total other income, net</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FFFFFF" w:val="clear"/>
            <w:tcMar>
              <w:bottom w:w="28" w:type="dxa"/>
            </w:tcMar>
            <w:vAlign w:val="center"/>
          </w:tcPr>
          <w:p>
            <w:pPr>
              <w:pStyle w:val="TableContents"/>
              <w:bidi w:val="0"/>
              <w:spacing w:before="0" w:after="283"/>
              <w:jc w:val="right"/>
              <w:rPr/>
            </w:pPr>
            <w:r>
              <w:rPr/>
              <w:t>96</w:t>
            </w:r>
          </w:p>
        </w:tc>
        <w:tc>
          <w:tcPr>
            <w:tcW w:w="16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FFFFFF" w:val="clear"/>
            <w:tcMar>
              <w:bottom w:w="28" w:type="dxa"/>
            </w:tcMar>
            <w:vAlign w:val="center"/>
          </w:tcPr>
          <w:p>
            <w:pPr>
              <w:pStyle w:val="TableContents"/>
              <w:bidi w:val="0"/>
              <w:spacing w:before="0" w:after="283"/>
              <w:jc w:val="right"/>
              <w:rPr/>
            </w:pPr>
            <w:r>
              <w:rPr/>
              <w:t>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pPr>
            <w:r>
              <w:rPr/>
              <w:t>33</w:t>
            </w:r>
          </w:p>
        </w:tc>
        <w:tc>
          <w:tcPr>
            <w:tcW w:w="110"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 </w:t>
            </w:r>
          </w:p>
        </w:tc>
        <w:tc>
          <w:tcPr>
            <w:tcW w:w="16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b/>
              </w:rPr>
            </w:pPr>
            <w:r>
              <w:rPr>
                <w:b/>
              </w:rPr>
              <w:t>Loss before income tax</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FFFFFF" w:val="clear"/>
            <w:tcMar>
              <w:bottom w:w="28" w:type="dxa"/>
            </w:tcMar>
            <w:vAlign w:val="center"/>
          </w:tcPr>
          <w:p>
            <w:pPr>
              <w:pStyle w:val="TableContents"/>
              <w:bidi w:val="0"/>
              <w:spacing w:before="0" w:after="283"/>
              <w:jc w:val="right"/>
              <w:rPr/>
            </w:pPr>
            <w:r>
              <w:rPr/>
              <w:t>(248</w:t>
            </w:r>
          </w:p>
        </w:tc>
        <w:tc>
          <w:tcPr>
            <w:tcW w:w="168"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FFFFFF" w:val="clear"/>
            <w:tcMar>
              <w:bottom w:w="28" w:type="dxa"/>
            </w:tcMar>
            <w:vAlign w:val="center"/>
          </w:tcPr>
          <w:p>
            <w:pPr>
              <w:pStyle w:val="TableContents"/>
              <w:bidi w:val="0"/>
              <w:spacing w:before="0" w:after="283"/>
              <w:jc w:val="right"/>
              <w:rPr/>
            </w:pPr>
            <w:r>
              <w:rPr/>
              <w:t>(3,394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pPr>
            <w:r>
              <w:rPr/>
              <w:t>(2,622</w:t>
            </w:r>
          </w:p>
        </w:tc>
        <w:tc>
          <w:tcPr>
            <w:tcW w:w="110" w:type="dxa"/>
            <w:tcBorders/>
            <w:shd w:fill="FFFFFF" w:val="clear"/>
            <w:vAlign w:val="center"/>
          </w:tcPr>
          <w:p>
            <w:pPr>
              <w:pStyle w:val="TableContents"/>
              <w:bidi w:val="0"/>
              <w:spacing w:before="0" w:after="283"/>
              <w:jc w:val="left"/>
              <w:rPr/>
            </w:pPr>
            <w:r>
              <w:rPr/>
              <w:t>)</w:t>
            </w:r>
          </w:p>
        </w:tc>
      </w:tr>
      <w:tr>
        <w:trPr/>
        <w:tc>
          <w:tcPr>
            <w:tcW w:w="3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 </w:t>
            </w:r>
          </w:p>
        </w:tc>
        <w:tc>
          <w:tcPr>
            <w:tcW w:w="16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6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FFFFFF" w:val="clear"/>
            <w:tcMar>
              <w:bottom w:w="28" w:type="dxa"/>
            </w:tcM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110"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 </w:t>
            </w:r>
          </w:p>
        </w:tc>
        <w:tc>
          <w:tcPr>
            <w:tcW w:w="16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FFFFFF" w:val="clear"/>
            <w:tcMar>
              <w:bottom w:w="28" w:type="dxa"/>
            </w:tcMar>
            <w:vAlign w:val="center"/>
          </w:tcPr>
          <w:p>
            <w:pPr>
              <w:pStyle w:val="TableContents"/>
              <w:bidi w:val="0"/>
              <w:spacing w:before="0" w:after="283"/>
              <w:jc w:val="right"/>
              <w:rPr/>
            </w:pPr>
            <w:r>
              <w:rPr/>
              <w:t>(248</w:t>
            </w:r>
          </w:p>
        </w:tc>
        <w:tc>
          <w:tcPr>
            <w:tcW w:w="168"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FFFFFF" w:val="clear"/>
            <w:tcMar>
              <w:bottom w:w="28" w:type="dxa"/>
            </w:tcMar>
            <w:vAlign w:val="center"/>
          </w:tcPr>
          <w:p>
            <w:pPr>
              <w:pStyle w:val="TableContents"/>
              <w:bidi w:val="0"/>
              <w:spacing w:before="0" w:after="283"/>
              <w:jc w:val="right"/>
              <w:rPr/>
            </w:pPr>
            <w:r>
              <w:rPr/>
              <w:t>(3,385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pPr>
            <w:r>
              <w:rPr/>
              <w:t>(2,615</w:t>
            </w:r>
          </w:p>
        </w:tc>
        <w:tc>
          <w:tcPr>
            <w:tcW w:w="110" w:type="dxa"/>
            <w:tcBorders/>
            <w:shd w:fill="FFFFFF" w:val="clear"/>
            <w:vAlign w:val="center"/>
          </w:tcPr>
          <w:p>
            <w:pPr>
              <w:pStyle w:val="TableContents"/>
              <w:bidi w:val="0"/>
              <w:spacing w:before="0" w:after="283"/>
              <w:jc w:val="left"/>
              <w:rPr/>
            </w:pPr>
            <w:r>
              <w:rPr/>
              <w:t>)</w:t>
            </w:r>
          </w:p>
        </w:tc>
      </w:tr>
      <w:tr>
        <w:trPr/>
        <w:tc>
          <w:tcPr>
            <w:tcW w:w="3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 </w:t>
            </w:r>
          </w:p>
        </w:tc>
        <w:tc>
          <w:tcPr>
            <w:tcW w:w="16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Other comprehensive income</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Foreign currency adjustments</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16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CCEEFF" w:val="clear"/>
            <w:tcMar>
              <w:bottom w:w="28" w:type="dxa"/>
            </w:tcM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pPr>
            <w:r>
              <w:rPr/>
              <w:t>12</w:t>
            </w:r>
          </w:p>
        </w:tc>
        <w:tc>
          <w:tcPr>
            <w:tcW w:w="11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b/>
              </w:rPr>
            </w:pPr>
            <w:r>
              <w:rPr>
                <w:b/>
              </w:rPr>
              <w:t>TOTAL COMPREHENSIVE LOSS</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CCEEFF" w:val="clear"/>
            <w:tcMar>
              <w:bottom w:w="28" w:type="dxa"/>
            </w:tcMar>
            <w:vAlign w:val="center"/>
          </w:tcPr>
          <w:p>
            <w:pPr>
              <w:pStyle w:val="TableContents"/>
              <w:bidi w:val="0"/>
              <w:spacing w:before="0" w:after="283"/>
              <w:jc w:val="right"/>
              <w:rPr/>
            </w:pPr>
            <w:r>
              <w:rPr/>
              <w:t>(248</w:t>
            </w:r>
          </w:p>
        </w:tc>
        <w:tc>
          <w:tcPr>
            <w:tcW w:w="168"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CCEEFF" w:val="clear"/>
            <w:tcMar>
              <w:bottom w:w="28" w:type="dxa"/>
            </w:tcMar>
            <w:vAlign w:val="center"/>
          </w:tcPr>
          <w:p>
            <w:pPr>
              <w:pStyle w:val="TableContents"/>
              <w:bidi w:val="0"/>
              <w:spacing w:before="0" w:after="283"/>
              <w:jc w:val="right"/>
              <w:rPr/>
            </w:pPr>
            <w:r>
              <w:rPr/>
              <w:t>(3,380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pPr>
            <w:r>
              <w:rPr/>
              <w:t>(2,603</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Below S$1,000/US$1,000</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tbl>
      <w:tblPr>
        <w:tblW w:w="6682" w:type="dxa"/>
        <w:jc w:val="left"/>
        <w:tblInd w:w="0" w:type="dxa"/>
        <w:tblLayout w:type="fixed"/>
        <w:tblCellMar>
          <w:top w:w="0" w:type="dxa"/>
          <w:left w:w="0" w:type="dxa"/>
          <w:bottom w:w="0" w:type="dxa"/>
          <w:right w:w="0" w:type="dxa"/>
        </w:tblCellMar>
      </w:tblPr>
      <w:tblGrid>
        <w:gridCol w:w="1835"/>
        <w:gridCol w:w="60"/>
        <w:gridCol w:w="68"/>
        <w:gridCol w:w="641"/>
        <w:gridCol w:w="67"/>
        <w:gridCol w:w="67"/>
        <w:gridCol w:w="67"/>
        <w:gridCol w:w="625"/>
        <w:gridCol w:w="67"/>
        <w:gridCol w:w="67"/>
        <w:gridCol w:w="68"/>
        <w:gridCol w:w="641"/>
        <w:gridCol w:w="60"/>
        <w:gridCol w:w="60"/>
        <w:gridCol w:w="60"/>
        <w:gridCol w:w="560"/>
        <w:gridCol w:w="60"/>
        <w:gridCol w:w="60"/>
        <w:gridCol w:w="82"/>
        <w:gridCol w:w="627"/>
        <w:gridCol w:w="95"/>
        <w:gridCol w:w="60"/>
        <w:gridCol w:w="60"/>
        <w:gridCol w:w="515"/>
        <w:gridCol w:w="110"/>
      </w:tblGrid>
      <w:tr>
        <w:trPr/>
        <w:tc>
          <w:tcPr>
            <w:tcW w:w="1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78"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Six Months Ended June 30,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7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7" w:type="dxa"/>
            <w:tcBorders/>
            <w:vAlign w:val="center"/>
          </w:tcPr>
          <w:p>
            <w:pPr>
              <w:pStyle w:val="TableContents"/>
              <w:bidi w:val="0"/>
              <w:spacing w:before="0" w:after="283"/>
              <w:jc w:val="center"/>
              <w:rPr/>
            </w:pPr>
            <w:r>
              <w:rPr/>
              <w:t> </w:t>
            </w:r>
          </w:p>
        </w:tc>
        <w:tc>
          <w:tcPr>
            <w:tcW w:w="67" w:type="dxa"/>
            <w:tcBorders/>
            <w:vAlign w:val="center"/>
          </w:tcPr>
          <w:p>
            <w:pPr>
              <w:pStyle w:val="TableContents"/>
              <w:bidi w:val="0"/>
              <w:spacing w:before="0" w:after="283"/>
              <w:jc w:val="center"/>
              <w:rPr/>
            </w:pPr>
            <w:r>
              <w:rPr/>
              <w:t> </w:t>
            </w:r>
          </w:p>
        </w:tc>
        <w:tc>
          <w:tcPr>
            <w:tcW w:w="6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7" w:type="dxa"/>
            <w:tcBorders/>
            <w:vAlign w:val="center"/>
          </w:tcPr>
          <w:p>
            <w:pPr>
              <w:pStyle w:val="TableContents"/>
              <w:bidi w:val="0"/>
              <w:spacing w:before="0" w:after="283"/>
              <w:jc w:val="center"/>
              <w:rPr/>
            </w:pPr>
            <w:r>
              <w:rPr/>
              <w:t> </w:t>
            </w:r>
          </w:p>
        </w:tc>
        <w:tc>
          <w:tcPr>
            <w:tcW w:w="67" w:type="dxa"/>
            <w:tcBorders/>
            <w:vAlign w:val="center"/>
          </w:tcPr>
          <w:p>
            <w:pPr>
              <w:pStyle w:val="TableContents"/>
              <w:bidi w:val="0"/>
              <w:spacing w:before="0" w:after="283"/>
              <w:jc w:val="center"/>
              <w:rPr/>
            </w:pPr>
            <w:r>
              <w:rPr/>
              <w:t> </w:t>
            </w:r>
          </w:p>
        </w:tc>
        <w:tc>
          <w:tcPr>
            <w:tcW w:w="7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09"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center"/>
              <w:rPr/>
            </w:pPr>
            <w:r>
              <w:rPr/>
              <w:t> </w:t>
            </w:r>
          </w:p>
        </w:tc>
      </w:tr>
      <w:tr>
        <w:trPr/>
        <w:tc>
          <w:tcPr>
            <w:tcW w:w="1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09" w:type="dxa"/>
            <w:gridSpan w:val="2"/>
            <w:tcBorders/>
            <w:vAlign w:val="center"/>
          </w:tcPr>
          <w:p>
            <w:pPr>
              <w:pStyle w:val="TableContents"/>
              <w:bidi w:val="0"/>
              <w:spacing w:before="0" w:after="283"/>
              <w:jc w:val="center"/>
              <w:rPr>
                <w:b/>
              </w:rPr>
            </w:pPr>
            <w:r>
              <w:rPr>
                <w:b/>
              </w:rPr>
              <w:t>S$’000</w:t>
            </w:r>
          </w:p>
        </w:tc>
        <w:tc>
          <w:tcPr>
            <w:tcW w:w="67" w:type="dxa"/>
            <w:tcBorders/>
            <w:vAlign w:val="center"/>
          </w:tcPr>
          <w:p>
            <w:pPr>
              <w:pStyle w:val="TableContents"/>
              <w:bidi w:val="0"/>
              <w:spacing w:before="0" w:after="283"/>
              <w:jc w:val="center"/>
              <w:rPr/>
            </w:pPr>
            <w:r>
              <w:rPr/>
              <w:t> </w:t>
            </w:r>
          </w:p>
        </w:tc>
        <w:tc>
          <w:tcPr>
            <w:tcW w:w="67" w:type="dxa"/>
            <w:tcBorders/>
            <w:vAlign w:val="center"/>
          </w:tcPr>
          <w:p>
            <w:pPr>
              <w:pStyle w:val="TableContents"/>
              <w:bidi w:val="0"/>
              <w:spacing w:before="0" w:after="283"/>
              <w:jc w:val="center"/>
              <w:rPr/>
            </w:pPr>
            <w:r>
              <w:rPr/>
              <w:t> </w:t>
            </w:r>
          </w:p>
        </w:tc>
        <w:tc>
          <w:tcPr>
            <w:tcW w:w="692" w:type="dxa"/>
            <w:gridSpan w:val="2"/>
            <w:tcBorders/>
            <w:vAlign w:val="center"/>
          </w:tcPr>
          <w:p>
            <w:pPr>
              <w:pStyle w:val="TableContents"/>
              <w:bidi w:val="0"/>
              <w:spacing w:before="0" w:after="283"/>
              <w:jc w:val="center"/>
              <w:rPr/>
            </w:pPr>
            <w:r>
              <w:rPr/>
              <w:t> </w:t>
            </w:r>
          </w:p>
        </w:tc>
        <w:tc>
          <w:tcPr>
            <w:tcW w:w="67" w:type="dxa"/>
            <w:tcBorders/>
            <w:vAlign w:val="center"/>
          </w:tcPr>
          <w:p>
            <w:pPr>
              <w:pStyle w:val="TableContents"/>
              <w:bidi w:val="0"/>
              <w:spacing w:before="0" w:after="283"/>
              <w:jc w:val="center"/>
              <w:rPr/>
            </w:pPr>
            <w:r>
              <w:rPr/>
              <w:t> </w:t>
            </w:r>
          </w:p>
        </w:tc>
        <w:tc>
          <w:tcPr>
            <w:tcW w:w="67" w:type="dxa"/>
            <w:tcBorders/>
            <w:vAlign w:val="center"/>
          </w:tcPr>
          <w:p>
            <w:pPr>
              <w:pStyle w:val="TableContents"/>
              <w:bidi w:val="0"/>
              <w:spacing w:before="0" w:after="283"/>
              <w:jc w:val="center"/>
              <w:rPr/>
            </w:pPr>
            <w:r>
              <w:rPr/>
              <w:t> </w:t>
            </w:r>
          </w:p>
        </w:tc>
        <w:tc>
          <w:tcPr>
            <w:tcW w:w="709" w:type="dxa"/>
            <w:gridSpan w:val="2"/>
            <w:tcBorders/>
            <w:vAlign w:val="center"/>
          </w:tcPr>
          <w:p>
            <w:pPr>
              <w:pStyle w:val="TableContents"/>
              <w:bidi w:val="0"/>
              <w:spacing w:before="0" w:after="283"/>
              <w:jc w:val="center"/>
              <w:rPr>
                <w:b/>
              </w:rPr>
            </w:pPr>
            <w:r>
              <w:rPr>
                <w:b/>
              </w:rPr>
              <w:t>S$’000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09" w:type="dxa"/>
            <w:gridSpan w:val="2"/>
            <w:tcBorders/>
            <w:vAlign w:val="center"/>
          </w:tcPr>
          <w:p>
            <w:pPr>
              <w:pStyle w:val="TableContents"/>
              <w:bidi w:val="0"/>
              <w:spacing w:before="0" w:after="283"/>
              <w:jc w:val="center"/>
              <w:rPr>
                <w:b/>
              </w:rPr>
            </w:pPr>
            <w:r>
              <w:rPr>
                <w:b/>
              </w:rPr>
              <w:t>S$’000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75" w:type="dxa"/>
            <w:gridSpan w:val="2"/>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center"/>
              <w:rPr/>
            </w:pPr>
            <w:r>
              <w:rPr/>
              <w:t> </w:t>
            </w:r>
          </w:p>
        </w:tc>
      </w:tr>
      <w:tr>
        <w:trPr/>
        <w:tc>
          <w:tcPr>
            <w:tcW w:w="1835" w:type="dxa"/>
            <w:tcBorders/>
            <w:shd w:fill="CCEEFF" w:val="clear"/>
            <w:vAlign w:val="center"/>
          </w:tcPr>
          <w:p>
            <w:pPr>
              <w:pStyle w:val="TableContents"/>
              <w:bidi w:val="0"/>
              <w:spacing w:before="0" w:after="283"/>
              <w:jc w:val="left"/>
              <w:rPr/>
            </w:pPr>
            <w:r>
              <w:rPr/>
              <w:t>Government sector</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972</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t>45.0</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735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pPr>
            <w:r>
              <w:rPr/>
              <w:t>(237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(24.4</w:t>
            </w:r>
          </w:p>
        </w:tc>
        <w:tc>
          <w:tcPr>
            <w:tcW w:w="110" w:type="dxa"/>
            <w:tcBorders/>
            <w:shd w:fill="CCEEFF" w:val="clear"/>
            <w:vAlign w:val="center"/>
          </w:tcPr>
          <w:p>
            <w:pPr>
              <w:pStyle w:val="TableContents"/>
              <w:bidi w:val="0"/>
              <w:spacing w:before="0" w:after="283"/>
              <w:jc w:val="left"/>
              <w:rPr/>
            </w:pPr>
            <w:r>
              <w:rPr/>
              <w:t>)</w:t>
            </w:r>
          </w:p>
        </w:tc>
      </w:tr>
      <w:tr>
        <w:trPr/>
        <w:tc>
          <w:tcPr>
            <w:tcW w:w="1835" w:type="dxa"/>
            <w:tcBorders/>
            <w:shd w:fill="FFFFFF" w:val="clear"/>
            <w:vAlign w:val="center"/>
          </w:tcPr>
          <w:p>
            <w:pPr>
              <w:pStyle w:val="TableContents"/>
              <w:bidi w:val="0"/>
              <w:spacing w:before="0" w:after="283"/>
              <w:jc w:val="left"/>
              <w:rPr/>
            </w:pPr>
            <w:r>
              <w:rPr/>
              <w:t>Private sector</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1" w:type="dxa"/>
            <w:tcBorders>
              <w:bottom w:val="single" w:sz="8" w:space="0" w:color="000000"/>
            </w:tcBorders>
            <w:shd w:fill="FFFFFF" w:val="clear"/>
            <w:tcMar>
              <w:bottom w:w="28" w:type="dxa"/>
            </w:tcMar>
            <w:vAlign w:val="center"/>
          </w:tcPr>
          <w:p>
            <w:pPr>
              <w:pStyle w:val="TableContents"/>
              <w:bidi w:val="0"/>
              <w:spacing w:before="0" w:after="283"/>
              <w:jc w:val="right"/>
              <w:rPr/>
            </w:pPr>
            <w:r>
              <w:rPr/>
              <w:t>1,190</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25" w:type="dxa"/>
            <w:tcBorders>
              <w:bottom w:val="single" w:sz="8" w:space="0" w:color="000000"/>
            </w:tcBorders>
            <w:shd w:fill="FFFFFF" w:val="clear"/>
            <w:tcMar>
              <w:bottom w:w="28" w:type="dxa"/>
            </w:tcMar>
            <w:vAlign w:val="center"/>
          </w:tcPr>
          <w:p>
            <w:pPr>
              <w:pStyle w:val="TableContents"/>
              <w:bidi w:val="0"/>
              <w:spacing w:before="0" w:after="283"/>
              <w:jc w:val="right"/>
              <w:rPr/>
            </w:pPr>
            <w:r>
              <w:rPr/>
              <w:t>55.0</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1" w:type="dxa"/>
            <w:tcBorders>
              <w:bottom w:val="single" w:sz="8" w:space="0" w:color="000000"/>
            </w:tcBorders>
            <w:shd w:fill="FFFFFF" w:val="clear"/>
            <w:tcMar>
              <w:bottom w:w="28" w:type="dxa"/>
            </w:tcMar>
            <w:vAlign w:val="center"/>
          </w:tcPr>
          <w:p>
            <w:pPr>
              <w:pStyle w:val="TableContents"/>
              <w:bidi w:val="0"/>
              <w:spacing w:before="0" w:after="283"/>
              <w:jc w:val="right"/>
              <w:rPr/>
            </w:pPr>
            <w:r>
              <w:rPr/>
              <w:t>1,310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64.1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27" w:type="dxa"/>
            <w:tcBorders>
              <w:bottom w:val="single" w:sz="8" w:space="0" w:color="000000"/>
            </w:tcBorders>
            <w:shd w:fill="FFFFFF" w:val="clear"/>
            <w:tcMar>
              <w:bottom w:w="28" w:type="dxa"/>
            </w:tcMar>
            <w:vAlign w:val="center"/>
          </w:tcPr>
          <w:p>
            <w:pPr>
              <w:pStyle w:val="TableContents"/>
              <w:bidi w:val="0"/>
              <w:spacing w:before="0" w:after="283"/>
              <w:jc w:val="right"/>
              <w:rPr/>
            </w:pPr>
            <w:r>
              <w:rPr/>
              <w:t>120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pPr>
            <w:r>
              <w:rPr/>
              <w:t>10.1</w:t>
            </w:r>
          </w:p>
        </w:tc>
        <w:tc>
          <w:tcPr>
            <w:tcW w:w="110" w:type="dxa"/>
            <w:tcBorders/>
            <w:shd w:fill="FFFFFF" w:val="clear"/>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1" w:type="dxa"/>
            <w:tcBorders>
              <w:bottom w:val="single" w:sz="8" w:space="0" w:color="000000"/>
            </w:tcBorders>
            <w:shd w:fill="CCEEFF" w:val="clear"/>
            <w:tcMar>
              <w:bottom w:w="28" w:type="dxa"/>
            </w:tcMar>
            <w:vAlign w:val="center"/>
          </w:tcPr>
          <w:p>
            <w:pPr>
              <w:pStyle w:val="TableContents"/>
              <w:bidi w:val="0"/>
              <w:spacing w:before="0" w:after="283"/>
              <w:jc w:val="right"/>
              <w:rPr/>
            </w:pPr>
            <w:r>
              <w:rPr/>
              <w:t>2,162</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25" w:type="dxa"/>
            <w:tcBorders>
              <w:bottom w:val="single" w:sz="8" w:space="0" w:color="000000"/>
            </w:tcBorders>
            <w:shd w:fill="CCEEFF" w:val="clear"/>
            <w:tcMar>
              <w:bottom w:w="28" w:type="dxa"/>
            </w:tcMar>
            <w:vAlign w:val="center"/>
          </w:tcPr>
          <w:p>
            <w:pPr>
              <w:pStyle w:val="TableContents"/>
              <w:bidi w:val="0"/>
              <w:spacing w:before="0" w:after="283"/>
              <w:jc w:val="right"/>
              <w:rPr/>
            </w:pPr>
            <w:r>
              <w:rPr/>
              <w:t>100.0</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1" w:type="dxa"/>
            <w:tcBorders>
              <w:bottom w:val="single" w:sz="8" w:space="0" w:color="000000"/>
            </w:tcBorders>
            <w:shd w:fill="CCEEFF" w:val="clear"/>
            <w:tcMar>
              <w:bottom w:w="28" w:type="dxa"/>
            </w:tcMar>
            <w:vAlign w:val="center"/>
          </w:tcPr>
          <w:p>
            <w:pPr>
              <w:pStyle w:val="TableContents"/>
              <w:bidi w:val="0"/>
              <w:spacing w:before="0" w:after="283"/>
              <w:jc w:val="right"/>
              <w:rPr/>
            </w:pPr>
            <w:r>
              <w:rPr/>
              <w:t>2,045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27" w:type="dxa"/>
            <w:tcBorders>
              <w:bottom w:val="single" w:sz="8" w:space="0" w:color="000000"/>
            </w:tcBorders>
            <w:shd w:fill="CCEEFF" w:val="clear"/>
            <w:tcMar>
              <w:bottom w:w="28" w:type="dxa"/>
            </w:tcMar>
            <w:vAlign w:val="center"/>
          </w:tcPr>
          <w:p>
            <w:pPr>
              <w:pStyle w:val="TableContents"/>
              <w:bidi w:val="0"/>
              <w:spacing w:before="0" w:after="283"/>
              <w:jc w:val="right"/>
              <w:rPr/>
            </w:pPr>
            <w:r>
              <w:rPr/>
              <w:t>(117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pPr>
            <w:r>
              <w:rPr/>
              <w:t>(5.4</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following table, revenue is disaggregated by the timing of revenue recognition.</w:t>
      </w:r>
    </w:p>
    <w:p>
      <w:pPr>
        <w:pStyle w:val="TextBody"/>
        <w:bidi w:val="0"/>
        <w:spacing w:before="0" w:after="0"/>
        <w:ind w:left="0" w:right="0" w:hanging="0"/>
        <w:jc w:val="both"/>
        <w:rPr>
          <w:caps w:val="false"/>
          <w:smallCaps w:val="false"/>
        </w:rPr>
      </w:pPr>
      <w:r>
        <w:rPr>
          <w:caps w:val="false"/>
          <w:smallCaps w:val="false"/>
        </w:rPr>
        <w:t> </w:t>
      </w:r>
    </w:p>
    <w:tbl>
      <w:tblPr>
        <w:tblW w:w="7265" w:type="dxa"/>
        <w:jc w:val="left"/>
        <w:tblInd w:w="0" w:type="dxa"/>
        <w:tblLayout w:type="fixed"/>
        <w:tblCellMar>
          <w:top w:w="0" w:type="dxa"/>
          <w:left w:w="0" w:type="dxa"/>
          <w:bottom w:w="0" w:type="dxa"/>
          <w:right w:w="0" w:type="dxa"/>
        </w:tblCellMar>
      </w:tblPr>
      <w:tblGrid>
        <w:gridCol w:w="4310"/>
        <w:gridCol w:w="60"/>
        <w:gridCol w:w="116"/>
        <w:gridCol w:w="1178"/>
        <w:gridCol w:w="116"/>
        <w:gridCol w:w="116"/>
        <w:gridCol w:w="116"/>
        <w:gridCol w:w="1178"/>
        <w:gridCol w:w="75"/>
      </w:tblGrid>
      <w:tr>
        <w:trPr/>
        <w:tc>
          <w:tcPr>
            <w:tcW w:w="43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8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jc w:val="center"/>
              <w:rPr/>
            </w:pPr>
            <w:r>
              <w:rPr/>
              <w:t> </w:t>
            </w:r>
          </w:p>
        </w:tc>
      </w:tr>
      <w:tr>
        <w:trPr/>
        <w:tc>
          <w:tcPr>
            <w:tcW w:w="43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6" w:type="dxa"/>
            <w:tcBorders/>
            <w:vAlign w:val="center"/>
          </w:tcPr>
          <w:p>
            <w:pPr>
              <w:pStyle w:val="TableContents"/>
              <w:bidi w:val="0"/>
              <w:spacing w:before="0" w:after="283"/>
              <w:jc w:val="center"/>
              <w:rPr/>
            </w:pPr>
            <w:r>
              <w:rPr/>
              <w:t> </w:t>
            </w:r>
          </w:p>
        </w:tc>
        <w:tc>
          <w:tcPr>
            <w:tcW w:w="116" w:type="dxa"/>
            <w:tcBorders/>
            <w:vAlign w:val="center"/>
          </w:tcPr>
          <w:p>
            <w:pPr>
              <w:pStyle w:val="TableContents"/>
              <w:bidi w:val="0"/>
              <w:spacing w:before="0" w:after="283"/>
              <w:jc w:val="center"/>
              <w:rPr/>
            </w:pPr>
            <w:r>
              <w:rPr/>
              <w:t> </w:t>
            </w:r>
          </w:p>
        </w:tc>
        <w:tc>
          <w:tcPr>
            <w:tcW w:w="12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center"/>
              <w:rPr/>
            </w:pPr>
            <w:r>
              <w:rPr/>
              <w:t> </w:t>
            </w:r>
          </w:p>
        </w:tc>
      </w:tr>
      <w:tr>
        <w:trPr/>
        <w:tc>
          <w:tcPr>
            <w:tcW w:w="43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6" w:type="dxa"/>
            <w:tcBorders/>
            <w:shd w:fill="FFFFFF" w:val="clear"/>
            <w:vAlign w:val="center"/>
          </w:tcPr>
          <w:p>
            <w:pPr>
              <w:pStyle w:val="TableContents"/>
              <w:bidi w:val="0"/>
              <w:spacing w:before="0" w:after="283"/>
              <w:jc w:val="center"/>
              <w:rPr/>
            </w:pPr>
            <w:r>
              <w:rPr/>
              <w:t> </w:t>
            </w:r>
          </w:p>
        </w:tc>
        <w:tc>
          <w:tcPr>
            <w:tcW w:w="1178" w:type="dxa"/>
            <w:tcBorders/>
            <w:shd w:fill="FFFFFF" w:val="clear"/>
            <w:vAlign w:val="center"/>
          </w:tcPr>
          <w:p>
            <w:pPr>
              <w:pStyle w:val="TableContents"/>
              <w:bidi w:val="0"/>
              <w:spacing w:before="0" w:after="283"/>
              <w:jc w:val="center"/>
              <w:rPr>
                <w:b/>
                <w:sz w:val="20"/>
              </w:rPr>
            </w:pPr>
            <w:r>
              <w:rPr>
                <w:b/>
                <w:sz w:val="20"/>
              </w:rPr>
              <w:t>S$’000</w:t>
            </w:r>
          </w:p>
        </w:tc>
        <w:tc>
          <w:tcPr>
            <w:tcW w:w="116" w:type="dxa"/>
            <w:tcBorders/>
            <w:shd w:fill="FFFFFF" w:val="clear"/>
            <w:vAlign w:val="center"/>
          </w:tcPr>
          <w:p>
            <w:pPr>
              <w:pStyle w:val="TableContents"/>
              <w:bidi w:val="0"/>
              <w:spacing w:before="0" w:after="283"/>
              <w:jc w:val="center"/>
              <w:rPr/>
            </w:pPr>
            <w:r>
              <w:rPr/>
              <w:t> </w:t>
            </w:r>
          </w:p>
        </w:tc>
        <w:tc>
          <w:tcPr>
            <w:tcW w:w="116" w:type="dxa"/>
            <w:tcBorders/>
            <w:shd w:fill="FFFFFF" w:val="clear"/>
            <w:vAlign w:val="center"/>
          </w:tcPr>
          <w:p>
            <w:pPr>
              <w:pStyle w:val="TableContents"/>
              <w:bidi w:val="0"/>
              <w:spacing w:before="0" w:after="283"/>
              <w:jc w:val="center"/>
              <w:rPr/>
            </w:pPr>
            <w:r>
              <w:rPr/>
              <w:t> </w:t>
            </w:r>
          </w:p>
        </w:tc>
        <w:tc>
          <w:tcPr>
            <w:tcW w:w="116" w:type="dxa"/>
            <w:tcBorders/>
            <w:shd w:fill="FFFFFF" w:val="clear"/>
            <w:vAlign w:val="center"/>
          </w:tcPr>
          <w:p>
            <w:pPr>
              <w:pStyle w:val="TableContents"/>
              <w:bidi w:val="0"/>
              <w:spacing w:before="0" w:after="283"/>
              <w:jc w:val="center"/>
              <w:rPr/>
            </w:pPr>
            <w:r>
              <w:rPr/>
              <w:t> </w:t>
            </w:r>
          </w:p>
        </w:tc>
        <w:tc>
          <w:tcPr>
            <w:tcW w:w="1178" w:type="dxa"/>
            <w:tcBorders/>
            <w:shd w:fill="FFFFFF" w:val="clear"/>
            <w:vAlign w:val="center"/>
          </w:tcPr>
          <w:p>
            <w:pPr>
              <w:pStyle w:val="TableContents"/>
              <w:bidi w:val="0"/>
              <w:spacing w:before="0" w:after="283"/>
              <w:jc w:val="center"/>
              <w:rPr>
                <w:b/>
                <w:sz w:val="20"/>
              </w:rPr>
            </w:pPr>
            <w:r>
              <w:rPr>
                <w:b/>
                <w:sz w:val="20"/>
              </w:rPr>
              <w:t>S$’000</w:t>
            </w:r>
          </w:p>
        </w:tc>
        <w:tc>
          <w:tcPr>
            <w:tcW w:w="75" w:type="dxa"/>
            <w:tcBorders/>
            <w:shd w:fill="FFFFFF" w:val="clear"/>
            <w:vAlign w:val="center"/>
          </w:tcPr>
          <w:p>
            <w:pPr>
              <w:pStyle w:val="TableContents"/>
              <w:bidi w:val="0"/>
              <w:spacing w:before="0" w:after="283"/>
              <w:jc w:val="center"/>
              <w:rPr/>
            </w:pPr>
            <w:r>
              <w:rPr/>
              <w:t> </w:t>
            </w:r>
          </w:p>
        </w:tc>
      </w:tr>
      <w:tr>
        <w:trPr/>
        <w:tc>
          <w:tcPr>
            <w:tcW w:w="4310" w:type="dxa"/>
            <w:tcBorders/>
            <w:shd w:fill="CCEEFF" w:val="clear"/>
            <w:vAlign w:val="center"/>
          </w:tcPr>
          <w:p>
            <w:pPr>
              <w:pStyle w:val="TableContents"/>
              <w:bidi w:val="0"/>
              <w:spacing w:before="0" w:after="283"/>
              <w:jc w:val="left"/>
              <w:rPr/>
            </w:pPr>
            <w:r>
              <w:rPr/>
              <w:t>Revenue recognition at a single point in time:</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Sales of merchandise</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4</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4</w:t>
            </w:r>
          </w:p>
        </w:tc>
        <w:tc>
          <w:tcPr>
            <w:tcW w:w="75"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Revenue recognition over time:</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Swim fees</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2,158</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2,038</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Pickleball</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pPr>
            <w:r>
              <w:rPr/>
              <w:t>3</w:t>
            </w:r>
          </w:p>
        </w:tc>
        <w:tc>
          <w:tcPr>
            <w:tcW w:w="75"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78" w:type="dxa"/>
            <w:tcBorders>
              <w:bottom w:val="single" w:sz="8" w:space="0" w:color="000000"/>
            </w:tcBorders>
            <w:shd w:fill="CCEEFF" w:val="clear"/>
            <w:tcMar>
              <w:bottom w:w="28" w:type="dxa"/>
            </w:tcMar>
            <w:vAlign w:val="center"/>
          </w:tcPr>
          <w:p>
            <w:pPr>
              <w:pStyle w:val="TableContents"/>
              <w:bidi w:val="0"/>
              <w:spacing w:before="0" w:after="283"/>
              <w:jc w:val="right"/>
              <w:rPr/>
            </w:pPr>
            <w:r>
              <w:rPr/>
              <w:t>2,162</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78" w:type="dxa"/>
            <w:tcBorders>
              <w:bottom w:val="single" w:sz="8" w:space="0" w:color="000000"/>
            </w:tcBorders>
            <w:shd w:fill="CCEEFF" w:val="clear"/>
            <w:tcMar>
              <w:bottom w:w="28" w:type="dxa"/>
            </w:tcMar>
            <w:vAlign w:val="center"/>
          </w:tcPr>
          <w:p>
            <w:pPr>
              <w:pStyle w:val="TableContents"/>
              <w:bidi w:val="0"/>
              <w:spacing w:before="0" w:after="283"/>
              <w:jc w:val="right"/>
              <w:rPr/>
            </w:pPr>
            <w:r>
              <w:rPr/>
              <w:t>2,045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for the six months ended June 30, 2026 was approximately S$2.05 million, representing a decrease of approximately S$0.12 million, or 5.4%, from approximately S$2.16 million for the corresponding six months ended June 30, 2025. The decline was primarily attributable to a 5.6% decrease in swim fees, which fell from approximately S$2.16 million in the prior-year period to approximately S$2.04 million in the current period. This reduction was mainly due to slightly lower enrolment levels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revenues</w:t>
      </w:r>
    </w:p>
    <w:p>
      <w:pPr>
        <w:pStyle w:val="TextBody"/>
        <w:bidi w:val="0"/>
        <w:ind w:left="0" w:right="0" w:hanging="0"/>
        <w:jc w:val="left"/>
        <w:rPr/>
      </w:pPr>
      <w:r>
        <w:rPr/>
        <w:t> </w:t>
      </w:r>
    </w:p>
    <w:tbl>
      <w:tblPr>
        <w:tblW w:w="6735" w:type="dxa"/>
        <w:jc w:val="left"/>
        <w:tblInd w:w="0" w:type="dxa"/>
        <w:tblLayout w:type="fixed"/>
        <w:tblCellMar>
          <w:top w:w="0" w:type="dxa"/>
          <w:left w:w="0" w:type="dxa"/>
          <w:bottom w:w="0" w:type="dxa"/>
          <w:right w:w="0" w:type="dxa"/>
        </w:tblCellMar>
      </w:tblPr>
      <w:tblGrid>
        <w:gridCol w:w="2120"/>
        <w:gridCol w:w="60"/>
        <w:gridCol w:w="60"/>
        <w:gridCol w:w="605"/>
        <w:gridCol w:w="60"/>
        <w:gridCol w:w="60"/>
        <w:gridCol w:w="60"/>
        <w:gridCol w:w="560"/>
        <w:gridCol w:w="60"/>
        <w:gridCol w:w="60"/>
        <w:gridCol w:w="60"/>
        <w:gridCol w:w="605"/>
        <w:gridCol w:w="60"/>
        <w:gridCol w:w="60"/>
        <w:gridCol w:w="60"/>
        <w:gridCol w:w="560"/>
        <w:gridCol w:w="60"/>
        <w:gridCol w:w="60"/>
        <w:gridCol w:w="60"/>
        <w:gridCol w:w="605"/>
        <w:gridCol w:w="95"/>
        <w:gridCol w:w="60"/>
        <w:gridCol w:w="60"/>
        <w:gridCol w:w="515"/>
        <w:gridCol w:w="110"/>
      </w:tblGrid>
      <w:tr>
        <w:trPr/>
        <w:tc>
          <w:tcPr>
            <w:tcW w:w="21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90" w:type="dxa"/>
            <w:gridSpan w:val="10"/>
            <w:tcBorders>
              <w:bottom w:val="single" w:sz="8" w:space="0" w:color="000000"/>
            </w:tcBorders>
            <w:tcMar>
              <w:bottom w:w="28" w:type="dxa"/>
            </w:tcMar>
            <w:vAlign w:val="center"/>
          </w:tcPr>
          <w:p>
            <w:pPr>
              <w:pStyle w:val="TableContents"/>
              <w:bidi w:val="0"/>
              <w:jc w:val="center"/>
              <w:rPr>
                <w:b/>
              </w:rPr>
            </w:pPr>
            <w:r>
              <w:rPr>
                <w:b/>
              </w:rPr>
              <w:t>Six Months Ended</w:t>
            </w:r>
          </w:p>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7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21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6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center"/>
              <w:rPr/>
            </w:pPr>
            <w:r>
              <w:rPr/>
              <w:t> </w:t>
            </w:r>
          </w:p>
        </w:tc>
      </w:tr>
      <w:tr>
        <w:trPr/>
        <w:tc>
          <w:tcPr>
            <w:tcW w:w="21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S$’000</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S$’000</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S$’000</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515"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center"/>
              <w:rPr/>
            </w:pPr>
            <w:r>
              <w:rPr/>
              <w:t> </w:t>
            </w:r>
          </w:p>
        </w:tc>
      </w:tr>
      <w:tr>
        <w:trPr/>
        <w:tc>
          <w:tcPr>
            <w:tcW w:w="2120" w:type="dxa"/>
            <w:tcBorders/>
            <w:shd w:fill="CCEEFF" w:val="clear"/>
            <w:vAlign w:val="center"/>
          </w:tcPr>
          <w:p>
            <w:pPr>
              <w:pStyle w:val="TableContents"/>
              <w:bidi w:val="0"/>
              <w:spacing w:before="0" w:after="283"/>
              <w:jc w:val="left"/>
              <w:rPr/>
            </w:pPr>
            <w:r>
              <w:rPr/>
              <w:t>Government sector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885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706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(179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(20.2</w:t>
            </w:r>
          </w:p>
        </w:tc>
        <w:tc>
          <w:tcPr>
            <w:tcW w:w="110" w:type="dxa"/>
            <w:tcBorders/>
            <w:shd w:fill="CCEEFF" w:val="clear"/>
            <w:vAlign w:val="center"/>
          </w:tcPr>
          <w:p>
            <w:pPr>
              <w:pStyle w:val="TableContents"/>
              <w:bidi w:val="0"/>
              <w:spacing w:before="0" w:after="283"/>
              <w:jc w:val="left"/>
              <w:rPr/>
            </w:pPr>
            <w:r>
              <w:rPr/>
              <w:t>)</w:t>
            </w:r>
          </w:p>
        </w:tc>
      </w:tr>
      <w:tr>
        <w:trPr/>
        <w:tc>
          <w:tcPr>
            <w:tcW w:w="2120" w:type="dxa"/>
            <w:tcBorders/>
            <w:shd w:fill="FFFFFF" w:val="clear"/>
            <w:vAlign w:val="center"/>
          </w:tcPr>
          <w:p>
            <w:pPr>
              <w:pStyle w:val="TableContents"/>
              <w:bidi w:val="0"/>
              <w:spacing w:before="0" w:after="283"/>
              <w:jc w:val="left"/>
              <w:rPr/>
            </w:pPr>
            <w:r>
              <w:rPr/>
              <w:t>Private sector</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pPr>
            <w:r>
              <w:rPr/>
              <w:t>653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42.4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pPr>
            <w:r>
              <w:rPr/>
              <w:t>893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55.8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pPr>
            <w:r>
              <w:rPr/>
              <w:t>240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pPr>
            <w:r>
              <w:rPr/>
              <w:t>36.8</w:t>
            </w:r>
          </w:p>
        </w:tc>
        <w:tc>
          <w:tcPr>
            <w:tcW w:w="110" w:type="dxa"/>
            <w:tcBorders/>
            <w:shd w:fill="FFFFFF" w:val="clear"/>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left"/>
              <w:rPr/>
            </w:pPr>
            <w:r>
              <w:rPr/>
              <w:t>Total cost of revenues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pPr>
            <w:r>
              <w:rPr/>
              <w:t>1,538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pPr>
            <w:r>
              <w:rPr/>
              <w:t>1,599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pPr>
            <w:r>
              <w:rPr/>
              <w:t>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pPr>
            <w:r>
              <w:rPr/>
              <w:t>4.0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six months ended June 30, 2026 was approximately S$1.60 million, compared to approximately S$1.54 million for the six months ended June 30, 2025, representing an increase of approximately 4.0%. The increase was primarily attributable to the commencement of operations at our Dubai subsidiary, which contributed approximately S$113,000 in coaches’ salaries during the period. This increase was largely offset by lower coaches’ fees and salaries in our existing Singapore operations, resulting in only a modest increase in total coaches’ fees and salaries from approximately S$1.366 million in the prior-year period to approximately S$1.378 million in the current period. In addition, merchandise costs and related shipping costs increased to approximately S$41,000 from approximately S$11,000 in the prior-year period, representing an increase of approximately 291%. The increase was primarily due to merchandise purchased in advance for the full year to support operational requirements. By segment, cost of revenues for the private segment increased by approximately 36.8%, while cost of revenues for the government segment decreased by approximately 20.2%, reflecting changes in the mix of services provided during the period. Our cost of revenues mainly comprises coaches’ fees (including salaries and benefits), entrance fees, merchandise costs, and assessment fees associated with the swim lessons delivered during the period.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the six months ended June 30, 2026 was approximately S$0.45 million, compared to approximately S$0.62 million for the six months ended June 30, 2025, representing a decrease of approximately S$0.18 million, or 28.5%. Gross profit margin decreased to approximately 21.8% from approximately 28.9% in the prior-year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gross profit was primarily attributable to lower revenue resulting from reduced enrolment levels, coupled with a slight increase in cost of revenues. The increase in cost of revenues was mainly due to the commencement of operations at our Dubai subsidiary and higher upfront merchandise purchases for the year. Although coaches’ fees and salaries increased only marginally overall, the additional costs associated with the Dubai operations, together with lower revenue, resulted in a decline in gross profit and gross profit margin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expenses consist of selling and distribution expenses and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and distribution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distribution expenses increased to approximately S$0.29 million for the six months ended June 30, 2026, compared with approximately S$0.21 million for the corresponding period in 2025. The increase was primarily attributable to higher marketing expenses, including approximately S$0.05 million incurred for social media management and advertising campaigns during the first half of 2026 to enhance brand awareness in the Dubai market following the commencement of operations in January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six months ended June 30, 2026 were approximately S$3.59 million, compared with approximately S$0.76 million for the corresponding period in 2025, representing an increase of approximately S$2.82 million, or 370.6%. The increase was primarily attributable to higher legal and professional fees and other administrative expenses incurred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in legal and professional fees for the six months ended June 30, 2026 was a referral fee of approximately S$2.18 million, which was incurred in connection with the Group’s business development initiatives to support future business growth.</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Other Income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(expense), net decreased significantly from approximately S$96,000 for the six months ended June 30, 2025 to approximately S$42,000 for the six months ended June 30, 2026, representing a decrease of approximately S$54,000, or 56.3%. The decrease was primarily attributable to the recognition of a government grant of approximately S$56,000, which was received in the prior-year period to support the Group’s market expansion initiatives. No comparable government grant was recognized during the current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Group recognized interest income of approximately S$20,000 from fixed deposits placed with funds raised during the first half of 2026. In addition, interest expense decreased from approximately S$11,000 in the prior-year period to approximately S$6,000 in the current period, primarily due to the repayment and completion of one of the Group’s term loans in June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tax rate in the years presented is the result of the mix of income earned in various tax jurisdictions that apply a broad range of income tax rate. Our Company’s subsidiaries mainly operate in Singapore that are subject to taxes in the jurisdictions in which they operate,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Fitness Champs Holdings Limited is an exempted Cayman Islands company and is presently not subject to income taxes or income tax filing requirements in the Cayman Islands or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BVI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Northen Star Limited is an exempted British Virgin Islands company and is presently not subject to income taxes or income tax filing requirements in the British Virgin Islands or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Dubai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Fitness Champs Excellence Sports Academy LLC is operating in Dubai and is subject to the Dubai tax law at the corporate tax rate at 9% on the assessable income arising in Dubai during its tax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Fitness Champs Aquatics Pte Ltd and Fitness Champs Pte Ltd are operating in Singapore and are subject to the Singapore tax law at the corporate tax rate at 17% on the assessable income arising in Singapore during its tax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 for the six months ended June 30, 2025 was nil, as the Group did not generate taxable profits during the period. For the six months ended June 30, 2026, the income tax benefit primarily comprised an over-provision of approximately S$9,000 (US$7,000) relating to the Year of Assessment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Group incurred a net loss of approximately S$3.38 million, compared with a net loss of approximately S$0.25 million for the corresponding period in 2025. The increase in net loss was primarily attributable to higher legal and professional fees, including the referral fee, as well as increased marketing expenses incurred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the Group’s EBITDA loss was approximately S$3.43 million, compared with an EBITDA loss of approximately S$0.19 million for the corresponding period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refers to earnings (loss) before income tax, finance costs, depreciation and amortization.</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cash flows for the six months ended June 30, 2025 and 2026 indicated:</w:t>
      </w:r>
    </w:p>
    <w:p>
      <w:pPr>
        <w:pStyle w:val="TextBody"/>
        <w:bidi w:val="0"/>
        <w:spacing w:before="0" w:after="0"/>
        <w:ind w:left="0" w:right="0" w:hanging="0"/>
        <w:jc w:val="both"/>
        <w:rPr>
          <w:caps w:val="false"/>
          <w:smallCaps w:val="false"/>
        </w:rPr>
      </w:pPr>
      <w:r>
        <w:rPr>
          <w:caps w:val="false"/>
          <w:smallCaps w:val="false"/>
        </w:rPr>
        <w:t> </w:t>
      </w:r>
    </w:p>
    <w:tbl>
      <w:tblPr>
        <w:tblW w:w="8552" w:type="dxa"/>
        <w:jc w:val="left"/>
        <w:tblInd w:w="0" w:type="dxa"/>
        <w:tblLayout w:type="fixed"/>
        <w:tblCellMar>
          <w:top w:w="0" w:type="dxa"/>
          <w:left w:w="0" w:type="dxa"/>
          <w:bottom w:w="0" w:type="dxa"/>
          <w:right w:w="0" w:type="dxa"/>
        </w:tblCellMar>
      </w:tblPr>
      <w:tblGrid>
        <w:gridCol w:w="5360"/>
        <w:gridCol w:w="60"/>
        <w:gridCol w:w="126"/>
        <w:gridCol w:w="1288"/>
        <w:gridCol w:w="119"/>
        <w:gridCol w:w="75"/>
        <w:gridCol w:w="121"/>
        <w:gridCol w:w="1293"/>
        <w:gridCol w:w="110"/>
      </w:tblGrid>
      <w:tr>
        <w:trPr/>
        <w:tc>
          <w:tcPr>
            <w:tcW w:w="53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0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center"/>
              <w:rPr/>
            </w:pPr>
            <w:r>
              <w:rPr/>
              <w:t> </w:t>
            </w:r>
          </w:p>
        </w:tc>
      </w:tr>
      <w:tr>
        <w:trPr/>
        <w:tc>
          <w:tcPr>
            <w:tcW w:w="53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119"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110" w:type="dxa"/>
            <w:tcBorders/>
            <w:vAlign w:val="center"/>
          </w:tcPr>
          <w:p>
            <w:pPr>
              <w:pStyle w:val="TableContents"/>
              <w:bidi w:val="0"/>
              <w:spacing w:before="0" w:after="283"/>
              <w:jc w:val="center"/>
              <w:rPr/>
            </w:pPr>
            <w:r>
              <w:rPr/>
              <w:t> </w:t>
            </w:r>
          </w:p>
        </w:tc>
      </w:tr>
      <w:tr>
        <w:trPr/>
        <w:tc>
          <w:tcPr>
            <w:tcW w:w="53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26" w:type="dxa"/>
            <w:tcBorders/>
            <w:shd w:fill="FFFFFF" w:val="clear"/>
            <w:vAlign w:val="center"/>
          </w:tcPr>
          <w:p>
            <w:pPr>
              <w:pStyle w:val="TableContents"/>
              <w:bidi w:val="0"/>
              <w:spacing w:before="0" w:after="283"/>
              <w:jc w:val="center"/>
              <w:rPr/>
            </w:pPr>
            <w:r>
              <w:rPr/>
              <w:t> </w:t>
            </w:r>
          </w:p>
        </w:tc>
        <w:tc>
          <w:tcPr>
            <w:tcW w:w="1288"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S$’000</w:t>
            </w:r>
          </w:p>
        </w:tc>
        <w:tc>
          <w:tcPr>
            <w:tcW w:w="119"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center"/>
              <w:rPr/>
            </w:pPr>
            <w:r>
              <w:rPr/>
              <w:t> </w:t>
            </w:r>
          </w:p>
        </w:tc>
        <w:tc>
          <w:tcPr>
            <w:tcW w:w="121" w:type="dxa"/>
            <w:tcBorders/>
            <w:shd w:fill="FFFFFF" w:val="clear"/>
            <w:vAlign w:val="center"/>
          </w:tcPr>
          <w:p>
            <w:pPr>
              <w:pStyle w:val="TableContents"/>
              <w:bidi w:val="0"/>
              <w:spacing w:before="0" w:after="283"/>
              <w:jc w:val="center"/>
              <w:rPr/>
            </w:pPr>
            <w:r>
              <w:rPr/>
              <w:t> </w:t>
            </w:r>
          </w:p>
        </w:tc>
        <w:tc>
          <w:tcPr>
            <w:tcW w:w="1293"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S$’000</w:t>
            </w:r>
          </w:p>
        </w:tc>
        <w:tc>
          <w:tcPr>
            <w:tcW w:w="110" w:type="dxa"/>
            <w:tcBorders/>
            <w:shd w:fill="FFFFFF" w:val="clear"/>
            <w:vAlign w:val="center"/>
          </w:tcPr>
          <w:p>
            <w:pPr>
              <w:pStyle w:val="TableContents"/>
              <w:bidi w:val="0"/>
              <w:spacing w:before="0" w:after="283"/>
              <w:jc w:val="center"/>
              <w:rPr/>
            </w:pPr>
            <w:r>
              <w:rPr/>
              <w:t> </w:t>
            </w:r>
          </w:p>
        </w:tc>
      </w:tr>
      <w:tr>
        <w:trPr/>
        <w:tc>
          <w:tcPr>
            <w:tcW w:w="5360" w:type="dxa"/>
            <w:tcBorders/>
            <w:shd w:fill="CCEEFF" w:val="clear"/>
            <w:vAlign w:val="center"/>
          </w:tcPr>
          <w:p>
            <w:pPr>
              <w:pStyle w:val="TableContents"/>
              <w:bidi w:val="0"/>
              <w:spacing w:before="0" w:after="283"/>
              <w:jc w:val="both"/>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(254</w:t>
            </w:r>
          </w:p>
        </w:tc>
        <w:tc>
          <w:tcPr>
            <w:tcW w:w="119" w:type="dxa"/>
            <w:tcBorders/>
            <w:shd w:fill="CCEEFF" w:val="clear"/>
            <w:vAlign w:val="center"/>
          </w:tcPr>
          <w:p>
            <w:pPr>
              <w:pStyle w:val="TableContents"/>
              <w:bidi w:val="0"/>
              <w:spacing w:before="0" w:after="283"/>
              <w:jc w:val="left"/>
              <w:rPr/>
            </w:pPr>
            <w:r>
              <w:rPr/>
              <w:t>)</w:t>
            </w:r>
          </w:p>
        </w:tc>
        <w:tc>
          <w:tcPr>
            <w:tcW w:w="75"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(3,969</w:t>
            </w:r>
          </w:p>
        </w:tc>
        <w:tc>
          <w:tcPr>
            <w:tcW w:w="110" w:type="dxa"/>
            <w:tcBorders/>
            <w:shd w:fill="CCEEFF" w:val="clear"/>
            <w:vAlign w:val="center"/>
          </w:tcPr>
          <w:p>
            <w:pPr>
              <w:pStyle w:val="TableContents"/>
              <w:bidi w:val="0"/>
              <w:spacing w:before="0" w:after="283"/>
              <w:jc w:val="left"/>
              <w:rPr/>
            </w:pPr>
            <w:r>
              <w:rPr/>
              <w:t>)</w:t>
            </w:r>
          </w:p>
        </w:tc>
      </w:tr>
      <w:tr>
        <w:trPr/>
        <w:tc>
          <w:tcPr>
            <w:tcW w:w="5360" w:type="dxa"/>
            <w:tcBorders/>
            <w:shd w:fill="FFFFFF" w:val="clear"/>
            <w:vAlign w:val="center"/>
          </w:tcPr>
          <w:p>
            <w:pPr>
              <w:pStyle w:val="TableContents"/>
              <w:bidi w:val="0"/>
              <w:spacing w:before="0" w:after="283"/>
              <w:jc w:val="both"/>
              <w:rPr>
                <w:b/>
              </w:rPr>
            </w:pPr>
            <w:r>
              <w:rPr>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(31</w:t>
            </w:r>
          </w:p>
        </w:tc>
        <w:tc>
          <w:tcPr>
            <w:tcW w:w="119" w:type="dxa"/>
            <w:tcBorders/>
            <w:shd w:fill="FFFFFF" w:val="clear"/>
            <w:vAlign w:val="center"/>
          </w:tcPr>
          <w:p>
            <w:pPr>
              <w:pStyle w:val="TableContents"/>
              <w:bidi w:val="0"/>
              <w:spacing w:before="0" w:after="283"/>
              <w:jc w:val="left"/>
              <w:rPr/>
            </w:pPr>
            <w:r>
              <w:rPr/>
              <w:t>)</w:t>
            </w:r>
          </w:p>
        </w:tc>
        <w:tc>
          <w:tcPr>
            <w:tcW w:w="75"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(26</w:t>
            </w:r>
          </w:p>
        </w:tc>
        <w:tc>
          <w:tcPr>
            <w:tcW w:w="110" w:type="dxa"/>
            <w:tcBorders/>
            <w:shd w:fill="FFFFFF" w:val="clear"/>
            <w:vAlign w:val="center"/>
          </w:tcPr>
          <w:p>
            <w:pPr>
              <w:pStyle w:val="TableContents"/>
              <w:bidi w:val="0"/>
              <w:spacing w:before="0" w:after="283"/>
              <w:jc w:val="left"/>
              <w:rPr/>
            </w:pPr>
            <w:r>
              <w:rPr/>
              <w:t>)</w:t>
            </w:r>
          </w:p>
        </w:tc>
      </w:tr>
      <w:tr>
        <w:trPr/>
        <w:tc>
          <w:tcPr>
            <w:tcW w:w="5360" w:type="dxa"/>
            <w:tcBorders/>
            <w:shd w:fill="CCEEFF" w:val="clear"/>
            <w:vAlign w:val="center"/>
          </w:tcPr>
          <w:p>
            <w:pPr>
              <w:pStyle w:val="TableContents"/>
              <w:bidi w:val="0"/>
              <w:spacing w:before="0" w:after="283"/>
              <w:jc w:val="both"/>
              <w:rPr>
                <w:b/>
              </w:rPr>
            </w:pPr>
            <w:r>
              <w:rPr>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CCEEFF" w:val="clear"/>
            <w:tcMar>
              <w:bottom w:w="28" w:type="dxa"/>
            </w:tcMar>
            <w:vAlign w:val="center"/>
          </w:tcPr>
          <w:p>
            <w:pPr>
              <w:pStyle w:val="TableContents"/>
              <w:bidi w:val="0"/>
              <w:spacing w:before="0" w:after="283"/>
              <w:jc w:val="right"/>
              <w:rPr/>
            </w:pPr>
            <w:r>
              <w:rPr/>
              <w:t>444</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3" w:type="dxa"/>
            <w:tcBorders>
              <w:bottom w:val="single" w:sz="8" w:space="0" w:color="000000"/>
            </w:tcBorders>
            <w:shd w:fill="CCEEFF" w:val="clear"/>
            <w:tcMar>
              <w:bottom w:w="28" w:type="dxa"/>
            </w:tcMar>
            <w:vAlign w:val="center"/>
          </w:tcPr>
          <w:p>
            <w:pPr>
              <w:pStyle w:val="TableContents"/>
              <w:bidi w:val="0"/>
              <w:spacing w:before="0" w:after="283"/>
              <w:jc w:val="right"/>
              <w:rPr/>
            </w:pPr>
            <w:r>
              <w:rPr/>
              <w:t>5,130</w:t>
            </w:r>
          </w:p>
        </w:tc>
        <w:tc>
          <w:tcPr>
            <w:tcW w:w="11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both"/>
              <w:rPr/>
            </w:pPr>
            <w:r>
              <w:rPr/>
              <w:t>Net changes in cash and cash equivalents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159</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1,135</w:t>
            </w:r>
          </w:p>
        </w:tc>
        <w:tc>
          <w:tcPr>
            <w:tcW w:w="11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both"/>
              <w:rPr/>
            </w:pPr>
            <w:r>
              <w:rPr/>
              <w:t>Effect of Exchange Rate Changes on Cash</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5</w:t>
            </w:r>
          </w:p>
        </w:tc>
        <w:tc>
          <w:tcPr>
            <w:tcW w:w="11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both"/>
              <w:rPr/>
            </w:pPr>
            <w:r>
              <w:rPr/>
              <w:t>Cash and cash equivalents at the beginning of the period</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FFFFFF" w:val="clear"/>
            <w:tcMar>
              <w:bottom w:w="28" w:type="dxa"/>
            </w:tcMar>
            <w:vAlign w:val="center"/>
          </w:tcPr>
          <w:p>
            <w:pPr>
              <w:pStyle w:val="TableContents"/>
              <w:bidi w:val="0"/>
              <w:spacing w:before="0" w:after="283"/>
              <w:jc w:val="right"/>
              <w:rPr/>
            </w:pPr>
            <w:r>
              <w:rPr/>
              <w:t>315</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3" w:type="dxa"/>
            <w:tcBorders>
              <w:bottom w:val="single" w:sz="8" w:space="0" w:color="000000"/>
            </w:tcBorders>
            <w:shd w:fill="FFFFFF" w:val="clear"/>
            <w:tcMar>
              <w:bottom w:w="28" w:type="dxa"/>
            </w:tcMar>
            <w:vAlign w:val="center"/>
          </w:tcPr>
          <w:p>
            <w:pPr>
              <w:pStyle w:val="TableContents"/>
              <w:bidi w:val="0"/>
              <w:spacing w:before="0" w:after="283"/>
              <w:jc w:val="right"/>
              <w:rPr/>
            </w:pPr>
            <w:r>
              <w:rPr/>
              <w:t>1,990</w:t>
            </w:r>
          </w:p>
        </w:tc>
        <w:tc>
          <w:tcPr>
            <w:tcW w:w="11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both"/>
              <w:rPr/>
            </w:pPr>
            <w:r>
              <w:rPr/>
              <w:t>Cash and cash equivalents at the end of the period</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CCEEFF" w:val="clear"/>
            <w:tcMar>
              <w:bottom w:w="28" w:type="dxa"/>
            </w:tcMar>
            <w:vAlign w:val="center"/>
          </w:tcPr>
          <w:p>
            <w:pPr>
              <w:pStyle w:val="TableContents"/>
              <w:bidi w:val="0"/>
              <w:spacing w:before="0" w:after="283"/>
              <w:jc w:val="right"/>
              <w:rPr/>
            </w:pPr>
            <w:r>
              <w:rPr/>
              <w:t>474</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3" w:type="dxa"/>
            <w:tcBorders>
              <w:bottom w:val="single" w:sz="8" w:space="0" w:color="000000"/>
            </w:tcBorders>
            <w:shd w:fill="CCEEFF" w:val="clear"/>
            <w:tcMar>
              <w:bottom w:w="28" w:type="dxa"/>
            </w:tcMar>
            <w:vAlign w:val="center"/>
          </w:tcPr>
          <w:p>
            <w:pPr>
              <w:pStyle w:val="TableContents"/>
              <w:bidi w:val="0"/>
              <w:spacing w:before="0" w:after="283"/>
              <w:jc w:val="right"/>
              <w:rPr/>
            </w:pPr>
            <w:r>
              <w:rPr/>
              <w:t>3,130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used in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six months ended June 30, 2026 amounted to S$3.97 million, compared to S$0.25 million for the six months ended June 30, 2025. The increase in cash outflow was mainly attributable to the higher loss incurred during the period, with a loss of S$3.39 million recorded for the six months ended June 30, 2026, compared to a loss of S$0.25 million for the corresponding period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June 2026, operating cash flow was adjusted for non-cash items, including total depreciation and amortization of S$0.05 million. The cash outflow was also affected by working capital movements, including an increase in receivables of S$0.14 million and a decrease in other payables of S$0.47 million, together with income tax paid of S$0.01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June 2025, the net loss of S$0.25 million was adjusted for non-cash items, including depreciation and amortization expenses of S$0.05 million. Operating cash flow was also affected by working capital movements, including an increase in deposits, prepayments and other receivables of S$0.15 million and an increase in payables and accrued liabilities of S$0.12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used in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for the six months ended June 30, 2026 was approximately S$0.03 million, compared to approximately S$0.03 million for the six months ended June 30, 2025. The decrease in cash outflow was mainly due to interest income received from fixed deposits of approximately S$0.02 million during the period, which partially offset the acquisition of intangible assets of approximately S$0.04 million and property, plant and equipment of approximately S$0.01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cash used in investing activities mainly related to the acquisition of property, plant and equipment of approximately S$0.03 million. Overall, cash used in investing activities remained relatively modest and reflected the Group’s continued investment in operational and strategic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provided by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six months ended June 30, 2026 amounted to approximately S$5.13 million, compared to net cash provided by financing activities of approximately S$0.44 million for the corresponding period in 2025. The increase in net cash inflow was primarily attributable to proceeds from the issuance of share capital amounting to approximately S$5.38 million. This was partially offset by repayments to a director of approximately S$0.22 million, repayments of bank borrowings of approximately S$0.01 million, principal payments of lease liabilities of approximately S$0.02 million, and interest payments on bank borrowings and lease liabilities totaling approximately S$0.01 million. Overall, financing activities provided the Group with a significant source of liquidity to support its operations and strategic initiatives, including its planned expansion into Dubai.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and changing prices have not had a material effect on our business, and we do not expect that inflation or changing prices will materially affect our business in the foreseeable future. However, our management will closely monitor price changes in our industry and continually maintain effective cost control in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 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we have no significant off-balance sheet arrangements that have or are reasonably likely to have a current or future effect on our financial condition, changes in our financial condition, revenues or expenses, results of operations, liquidity, capital expenditures or capital resources that are material to our shareholders.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to the Company’s significant accounting policies as disclosed in the Annual Report on Form 20-F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Company’s critical accounting policies and estimates should be read in conjunction with the audited consolidated financial statements and related notes included in the Annual Report on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Income Statement - Reporting Comprehensive Income - Expense Disaggregation Disclosures (Subtopic 220-40): Disaggregation of Income Statement Expenses (“ASU 2024-03”), and in January 2025, the FASB issued ASU No. 2025-01, Income Statement - Reporting Comprehensive Income - Expense Disaggregation Disclosures (Subtopic 220-40): Clarifying the Effective Date (“ASU 2025-01”). ASU 2024-03 requires additional disclosure of the nature of expenses included in the income statement as well as disclosures about specific types of expenses included in the expense captions presented in the income statement. ASU 2024-03, as clarified by ASU 2025-01, is effective for annual reporting periods beginning after December 15, 2026, and interim periods within annual reporting periods beginning after December 15, 2027. Both early adoption and retrospective application are permitted. The Company is currently evaluating the impact of this accounting standard update on its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FASB issued ASU 2025-03, Business Combinations (Topic 805) and Consolidation (Topic 810): Determining the Accounting Acquirer in the Acquisition of a Variable Interest Entity. ASU 2025-03 clarifies the guidance to determine the accounting acquirer in a business combination that is effected primarily by exchanging equity interests, when the legal acquiree is a variable interest entity (“VIE”) that meets the definition of a business. ASU 2025-03 requires entities to consider the same factors in ASC 805, Business Combinations, required for determining which entity is the accounting acquirer in other acquisition transactions. ASU 2025-03 is effective for the Company’s annual reporting periods beginning after December 15, 2026, and interim reporting periods within those annual reporting periods, with early adoption permitted. ASU 2025-03 is required to be applied on a prospective basis to any acquisition transaction that occurs after the initial application date. The Company is currently assessing the impact this standard will have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FASB issued ASU 2025-04, Compensation—Stock Compensation (Topic 718) and Revenue from Contracts with Customers (Topic 606). ASU 2025-04 revises the definition of the term performance condition for share-based consideration payable to a customer to incorporate conditions that are based on the volume or monetary amount of a customer’s purchases or potential purchases. ASU 2025-04 also eliminates the policy election to account for forfeitures as they occur for awards with service conditions. ASU 2025-04 also clarifies that ASC 606 variable consideration guidance does not apply to share-based payments to customers; instead, vesting probability should be assessed solely under ASC 718, Compensation—Stock Compensation. ASU 2025-04 is effective for the Company’s annual reporting periods beginning after December 15, 2026, and interim reporting periods within those annual reporting periods, with early adoption permitted. ASU 2025-04 may be applied on either a modified retrospective basis or on a retrospective basis. The Company is currently assessing the impact this standard will have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Financial Accounting Standards Board (“FASB”) issued Accounting Standards Update (“ASU”) 2025-05, Measurement of Credit Losses for Accounts Receivable and Contract Assets. ASU 2025-05 amends ASC 326, Financial Instruments—Credit Losses, and introduces a practical expedient available for all entities and an accounting policy election available for all entities, other than public business entities, that elect the practical expedient. These changes apply to the estimation of expected credit losses for current accounts receivable and current contract assets arising from transactions accounted for under ASC 606, Revenue Recognition. Under the practical expedient, entities may assume that current conditions as of the balance sheet date remain unchanged for the remaining life of the asset when developing reasonable and supportable forecasts. This simplifies the estimation process for short-term financial assets. ASU 2025-05 is effective for the Company’s periods beginning after December 15, 2025 and interim reporting periods within those annual reporting periods, with early adoption permitted. ASU 2025-05 should be applied on a prospective basis. The Company is currently assessing the impact this standard will have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ASU 2025-06, Intangibles-Goodwill and Other-Internal-Use Software (Subtopic 350-40): Targeted Improvements to the Accounting for Internal-Use Software. In September 2025, the FASB issued this ASU to modernize the accounting for internal-use software costs, primarily by simplifying the requirements to capitalize software development costs. This update is effective beginning with the Company’s 2028 fiscal year annual reporting period, with early adoption permitted. The Company is currently assessing the impact this standard will have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ASU 2025-10, Government Grants (Topic 832): Accounting for Government Grants Received by Business Entities. In December 2025, the FASB issued this ASU to establish authoritative guidance on the accounting for government grants received by business entities. This update is effective beginning with the Company’s 2029 fiscal year annual reporting period, with early adoption permitted. The Company is currently assessing the impact this standard will have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above-mentioned pronouncements, there are no new recent issued accounting standards that will have a material impact on the unaudited interim consolidated financial position, statements of operations and cash flows.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4" w:name="ex99-2.htm"/>
      <w:bookmarkStart w:id="15" w:name="ksex992"/>
      <w:bookmarkEnd w:id="14"/>
      <w:bookmarkEnd w:id="1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FITNESS CHAMPS HOLDINGS LTD AND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INTERIM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 w:name="xdx_302_111_pn3n3_zJB6m1WpNxUg"/>
      <w:bookmarkStart w:id="17" w:name="xdx_302_111_pn3n3_zJB6m1WpNxUg"/>
      <w:bookmarkEnd w:id="17"/>
    </w:p>
    <w:tbl>
      <w:tblPr>
        <w:tblW w:w="10205" w:type="dxa"/>
        <w:jc w:val="left"/>
        <w:tblInd w:w="0" w:type="dxa"/>
        <w:tblLayout w:type="fixed"/>
        <w:tblCellMar>
          <w:top w:w="0" w:type="dxa"/>
          <w:left w:w="0" w:type="dxa"/>
          <w:bottom w:w="0" w:type="dxa"/>
          <w:right w:w="0" w:type="dxa"/>
        </w:tblCellMar>
      </w:tblPr>
      <w:tblGrid>
        <w:gridCol w:w="6582"/>
        <w:gridCol w:w="60"/>
        <w:gridCol w:w="106"/>
        <w:gridCol w:w="1132"/>
        <w:gridCol w:w="201"/>
        <w:gridCol w:w="60"/>
        <w:gridCol w:w="67"/>
        <w:gridCol w:w="719"/>
        <w:gridCol w:w="201"/>
        <w:gridCol w:w="60"/>
        <w:gridCol w:w="68"/>
        <w:gridCol w:w="726"/>
        <w:gridCol w:w="223"/>
      </w:tblGrid>
      <w:tr>
        <w:trPr/>
        <w:tc>
          <w:tcPr>
            <w:tcW w:w="65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8" w:name="xdx_49E_20251231_zgGRmWbrenda"/>
            <w:bookmarkEnd w:id="18"/>
          </w:p>
        </w:tc>
        <w:tc>
          <w:tcPr>
            <w:tcW w:w="1238" w:type="dxa"/>
            <w:gridSpan w:val="2"/>
            <w:tcBorders/>
            <w:vAlign w:val="center"/>
          </w:tcPr>
          <w:p>
            <w:pPr>
              <w:pStyle w:val="TableContents"/>
              <w:bidi w:val="0"/>
              <w:spacing w:before="0" w:after="283"/>
              <w:jc w:val="center"/>
              <w:rPr>
                <w:b/>
              </w:rPr>
            </w:pPr>
            <w:r>
              <w:rPr>
                <w:b/>
              </w:rPr>
              <w:t>December 31,</w:t>
            </w:r>
          </w:p>
        </w:tc>
        <w:tc>
          <w:tcPr>
            <w:tcW w:w="2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9" w:name="xdx_491_20260630_zGOtyG0rDSUi"/>
            <w:bookmarkEnd w:id="19"/>
          </w:p>
        </w:tc>
        <w:tc>
          <w:tcPr>
            <w:tcW w:w="786" w:type="dxa"/>
            <w:gridSpan w:val="2"/>
            <w:tcBorders/>
            <w:vAlign w:val="center"/>
          </w:tcPr>
          <w:p>
            <w:pPr>
              <w:pStyle w:val="TableContents"/>
              <w:bidi w:val="0"/>
              <w:spacing w:before="0" w:after="283"/>
              <w:jc w:val="center"/>
              <w:rPr>
                <w:b/>
              </w:rPr>
            </w:pPr>
            <w:r>
              <w:rPr>
                <w:b/>
              </w:rPr>
              <w:t>June 30,</w:t>
            </w:r>
          </w:p>
        </w:tc>
        <w:tc>
          <w:tcPr>
            <w:tcW w:w="2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94" w:type="dxa"/>
            <w:gridSpan w:val="2"/>
            <w:tcBorders/>
            <w:vAlign w:val="center"/>
          </w:tcPr>
          <w:p>
            <w:pPr>
              <w:pStyle w:val="TableContents"/>
              <w:bidi w:val="0"/>
              <w:spacing w:before="0" w:after="283"/>
              <w:jc w:val="center"/>
              <w:rPr>
                <w:b/>
              </w:rPr>
            </w:pPr>
            <w:r>
              <w:rPr>
                <w:b/>
              </w:rPr>
              <w:t>June 30,</w:t>
            </w:r>
          </w:p>
        </w:tc>
        <w:tc>
          <w:tcPr>
            <w:tcW w:w="223" w:type="dxa"/>
            <w:tcBorders/>
            <w:vAlign w:val="center"/>
          </w:tcPr>
          <w:p>
            <w:pPr>
              <w:pStyle w:val="TableContents"/>
              <w:bidi w:val="0"/>
              <w:spacing w:before="0" w:after="283"/>
              <w:jc w:val="center"/>
              <w:rPr/>
            </w:pPr>
            <w:r>
              <w:rPr/>
              <w:t> </w:t>
            </w:r>
          </w:p>
        </w:tc>
      </w:tr>
      <w:tr>
        <w:trPr/>
        <w:tc>
          <w:tcPr>
            <w:tcW w:w="65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23" w:type="dxa"/>
            <w:tcBorders/>
            <w:vAlign w:val="center"/>
          </w:tcPr>
          <w:p>
            <w:pPr>
              <w:pStyle w:val="TableContents"/>
              <w:bidi w:val="0"/>
              <w:spacing w:before="0" w:after="283"/>
              <w:jc w:val="center"/>
              <w:rPr/>
            </w:pPr>
            <w:r>
              <w:rPr/>
              <w:t> </w:t>
            </w:r>
          </w:p>
        </w:tc>
      </w:tr>
      <w:tr>
        <w:trPr/>
        <w:tc>
          <w:tcPr>
            <w:tcW w:w="65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pPr>
            <w:r>
              <w:rPr/>
              <w:t> </w:t>
            </w:r>
          </w:p>
        </w:tc>
        <w:tc>
          <w:tcPr>
            <w:tcW w:w="1238" w:type="dxa"/>
            <w:gridSpan w:val="2"/>
            <w:tcBorders/>
            <w:vAlign w:val="center"/>
          </w:tcPr>
          <w:p>
            <w:pPr>
              <w:pStyle w:val="TableContents"/>
              <w:bidi w:val="0"/>
              <w:spacing w:before="0" w:after="283"/>
              <w:jc w:val="center"/>
              <w:rPr>
                <w:b/>
              </w:rPr>
            </w:pPr>
            <w:r>
              <w:rPr>
                <w:b/>
              </w:rPr>
              <w:t>S$’000</w:t>
            </w:r>
          </w:p>
        </w:tc>
        <w:tc>
          <w:tcPr>
            <w:tcW w:w="2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86" w:type="dxa"/>
            <w:gridSpan w:val="2"/>
            <w:tcBorders/>
            <w:vAlign w:val="center"/>
          </w:tcPr>
          <w:p>
            <w:pPr>
              <w:pStyle w:val="TableContents"/>
              <w:bidi w:val="0"/>
              <w:spacing w:before="0" w:after="283"/>
              <w:jc w:val="center"/>
              <w:rPr>
                <w:b/>
              </w:rPr>
            </w:pPr>
            <w:r>
              <w:rPr>
                <w:b/>
              </w:rPr>
              <w:t>S$’000</w:t>
            </w:r>
          </w:p>
        </w:tc>
        <w:tc>
          <w:tcPr>
            <w:tcW w:w="2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94" w:type="dxa"/>
            <w:gridSpan w:val="2"/>
            <w:tcBorders/>
            <w:vAlign w:val="center"/>
          </w:tcPr>
          <w:p>
            <w:pPr>
              <w:pStyle w:val="TableContents"/>
              <w:bidi w:val="0"/>
              <w:spacing w:before="0" w:after="283"/>
              <w:jc w:val="center"/>
              <w:rPr>
                <w:b/>
              </w:rPr>
            </w:pPr>
            <w:r>
              <w:rPr>
                <w:b/>
              </w:rPr>
              <w:t>US$’000</w:t>
            </w:r>
          </w:p>
        </w:tc>
        <w:tc>
          <w:tcPr>
            <w:tcW w:w="223" w:type="dxa"/>
            <w:tcBorders/>
            <w:vAlign w:val="center"/>
          </w:tcPr>
          <w:p>
            <w:pPr>
              <w:pStyle w:val="TableContents"/>
              <w:bidi w:val="0"/>
              <w:spacing w:before="0" w:after="283"/>
              <w:jc w:val="center"/>
              <w:rPr/>
            </w:pPr>
            <w:r>
              <w:rPr/>
              <w:t> </w:t>
            </w:r>
            <w:bookmarkStart w:id="20" w:name="xdx_401_eus-gaap--AssetsAbstract_iB_zAKO"/>
            <w:bookmarkEnd w:id="20"/>
          </w:p>
        </w:tc>
      </w:tr>
      <w:tr>
        <w:trPr/>
        <w:tc>
          <w:tcPr>
            <w:tcW w:w="6582"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center"/>
              <w:rPr/>
            </w:pPr>
            <w:r>
              <w:rPr/>
              <w:t> </w:t>
            </w:r>
          </w:p>
        </w:tc>
        <w:tc>
          <w:tcPr>
            <w:tcW w:w="1238" w:type="dxa"/>
            <w:gridSpan w:val="2"/>
            <w:tcBorders/>
            <w:shd w:fill="CCEEFF" w:val="clear"/>
            <w:vAlign w:val="center"/>
          </w:tcPr>
          <w:p>
            <w:pPr>
              <w:pStyle w:val="TableContents"/>
              <w:bidi w:val="0"/>
              <w:spacing w:before="0" w:after="283"/>
              <w:jc w:val="center"/>
              <w:rPr/>
            </w:pPr>
            <w:r>
              <w:rPr/>
              <w:t> </w:t>
            </w:r>
          </w:p>
        </w:tc>
        <w:tc>
          <w:tcPr>
            <w:tcW w:w="20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786" w:type="dxa"/>
            <w:gridSpan w:val="2"/>
            <w:tcBorders/>
            <w:shd w:fill="CCEEFF" w:val="clear"/>
            <w:vAlign w:val="center"/>
          </w:tcPr>
          <w:p>
            <w:pPr>
              <w:pStyle w:val="TableContents"/>
              <w:bidi w:val="0"/>
              <w:spacing w:before="0" w:after="283"/>
              <w:jc w:val="center"/>
              <w:rPr/>
            </w:pPr>
            <w:r>
              <w:rPr/>
              <w:t> </w:t>
            </w:r>
          </w:p>
        </w:tc>
        <w:tc>
          <w:tcPr>
            <w:tcW w:w="20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794" w:type="dxa"/>
            <w:gridSpan w:val="2"/>
            <w:tcBorders/>
            <w:shd w:fill="CCEEFF" w:val="clear"/>
            <w:vAlign w:val="center"/>
          </w:tcPr>
          <w:p>
            <w:pPr>
              <w:pStyle w:val="TableContents"/>
              <w:bidi w:val="0"/>
              <w:spacing w:before="0" w:after="283"/>
              <w:jc w:val="center"/>
              <w:rPr/>
            </w:pPr>
            <w:r>
              <w:rPr/>
              <w:t> </w:t>
            </w:r>
          </w:p>
        </w:tc>
        <w:tc>
          <w:tcPr>
            <w:tcW w:w="223" w:type="dxa"/>
            <w:tcBorders/>
            <w:shd w:fill="CCEEFF" w:val="clear"/>
            <w:vAlign w:val="center"/>
          </w:tcPr>
          <w:p>
            <w:pPr>
              <w:pStyle w:val="TableContents"/>
              <w:bidi w:val="0"/>
              <w:spacing w:before="0" w:after="283"/>
              <w:jc w:val="center"/>
              <w:rPr/>
            </w:pPr>
            <w:r>
              <w:rPr/>
              <w:t> </w:t>
            </w:r>
            <w:bookmarkStart w:id="21" w:name="xdx_406_eus-gaap--AssetsCurrentAbstract_"/>
            <w:bookmarkEnd w:id="21"/>
          </w:p>
        </w:tc>
      </w:tr>
      <w:tr>
        <w:trPr/>
        <w:tc>
          <w:tcPr>
            <w:tcW w:w="6582" w:type="dxa"/>
            <w:tcBorders/>
            <w:shd w:fill="FFFFFF" w:val="clear"/>
            <w:vAlign w:val="center"/>
          </w:tcPr>
          <w:p>
            <w:pPr>
              <w:pStyle w:val="TableContents"/>
              <w:bidi w:val="0"/>
              <w:spacing w:before="0" w:after="283"/>
              <w:jc w:val="both"/>
              <w:rPr/>
            </w:pPr>
            <w:r>
              <w:rPr/>
              <w:t>Current assets</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 </w:t>
            </w:r>
          </w:p>
        </w:tc>
        <w:tc>
          <w:tcPr>
            <w:tcW w:w="223" w:type="dxa"/>
            <w:tcBorders/>
            <w:shd w:fill="FFFFFF" w:val="clear"/>
            <w:vAlign w:val="center"/>
          </w:tcPr>
          <w:p>
            <w:pPr>
              <w:pStyle w:val="TableContents"/>
              <w:bidi w:val="0"/>
              <w:spacing w:before="0" w:after="283"/>
              <w:jc w:val="left"/>
              <w:rPr/>
            </w:pPr>
            <w:r>
              <w:rPr/>
              <w:t> </w:t>
            </w:r>
            <w:bookmarkStart w:id="22" w:name="xdx_409_eus-gaap--CashAndCashEquivalents"/>
            <w:bookmarkEnd w:id="22"/>
          </w:p>
        </w:tc>
      </w:tr>
      <w:tr>
        <w:trPr/>
        <w:tc>
          <w:tcPr>
            <w:tcW w:w="6582"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1,990</w:t>
            </w:r>
          </w:p>
        </w:tc>
        <w:tc>
          <w:tcPr>
            <w:tcW w:w="2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pPr>
            <w:r>
              <w:rPr/>
              <w:t>3,130</w:t>
            </w:r>
          </w:p>
        </w:tc>
        <w:tc>
          <w:tcPr>
            <w:tcW w:w="2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23" w:name="xdx_98E_eus-gaap--CashAndCashEquivalents"/>
            <w:bookmarkEnd w:id="23"/>
          </w:p>
        </w:tc>
        <w:tc>
          <w:tcPr>
            <w:tcW w:w="726" w:type="dxa"/>
            <w:tcBorders/>
            <w:shd w:fill="CCEEFF" w:val="clear"/>
            <w:vAlign w:val="center"/>
          </w:tcPr>
          <w:p>
            <w:pPr>
              <w:pStyle w:val="TableContents"/>
              <w:bidi w:val="0"/>
              <w:spacing w:before="0" w:after="283"/>
              <w:jc w:val="right"/>
              <w:rPr/>
            </w:pPr>
            <w:r>
              <w:rPr/>
              <w:t>2,419</w:t>
            </w:r>
          </w:p>
        </w:tc>
        <w:tc>
          <w:tcPr>
            <w:tcW w:w="223" w:type="dxa"/>
            <w:tcBorders/>
            <w:shd w:fill="CCEEFF" w:val="clear"/>
            <w:vAlign w:val="center"/>
          </w:tcPr>
          <w:p>
            <w:pPr>
              <w:pStyle w:val="TableContents"/>
              <w:bidi w:val="0"/>
              <w:spacing w:before="0" w:after="283"/>
              <w:jc w:val="left"/>
              <w:rPr/>
            </w:pPr>
            <w:r>
              <w:rPr/>
              <w:t> </w:t>
            </w:r>
            <w:bookmarkStart w:id="24" w:name="xdx_406_eus-gaap--AccountsReceivableNetC"/>
            <w:bookmarkEnd w:id="24"/>
          </w:p>
        </w:tc>
      </w:tr>
      <w:tr>
        <w:trPr/>
        <w:tc>
          <w:tcPr>
            <w:tcW w:w="6582" w:type="dxa"/>
            <w:tcBorders/>
            <w:shd w:fill="FFFFFF" w:val="clear"/>
            <w:vAlign w:val="center"/>
          </w:tcPr>
          <w:p>
            <w:pPr>
              <w:pStyle w:val="TableContents"/>
              <w:bidi w:val="0"/>
              <w:spacing w:before="0" w:after="283"/>
              <w:jc w:val="both"/>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w:t>
            </w:r>
          </w:p>
        </w:tc>
        <w:tc>
          <w:tcPr>
            <w:tcW w:w="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pPr>
            <w:r>
              <w:rPr/>
              <w:t>24</w:t>
            </w:r>
          </w:p>
        </w:tc>
        <w:tc>
          <w:tcPr>
            <w:tcW w:w="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bookmarkStart w:id="25" w:name="xdx_989_eus-gaap--AccountsReceivableNetC"/>
            <w:bookmarkEnd w:id="25"/>
          </w:p>
        </w:tc>
        <w:tc>
          <w:tcPr>
            <w:tcW w:w="726" w:type="dxa"/>
            <w:tcBorders/>
            <w:shd w:fill="FFFFFF" w:val="clear"/>
            <w:vAlign w:val="center"/>
          </w:tcPr>
          <w:p>
            <w:pPr>
              <w:pStyle w:val="TableContents"/>
              <w:bidi w:val="0"/>
              <w:spacing w:before="0" w:after="283"/>
              <w:jc w:val="right"/>
              <w:rPr/>
            </w:pPr>
            <w:r>
              <w:rPr/>
              <w:t>19</w:t>
            </w:r>
          </w:p>
        </w:tc>
        <w:tc>
          <w:tcPr>
            <w:tcW w:w="223" w:type="dxa"/>
            <w:tcBorders/>
            <w:shd w:fill="FFFFFF" w:val="clear"/>
            <w:vAlign w:val="center"/>
          </w:tcPr>
          <w:p>
            <w:pPr>
              <w:pStyle w:val="TableContents"/>
              <w:bidi w:val="0"/>
              <w:spacing w:before="0" w:after="283"/>
              <w:jc w:val="left"/>
              <w:rPr/>
            </w:pPr>
            <w:r>
              <w:rPr/>
              <w:t> </w:t>
            </w:r>
            <w:bookmarkStart w:id="26" w:name="xdx_40A_eus-gaap--PrepaidExpenseAndOther"/>
            <w:bookmarkEnd w:id="26"/>
          </w:p>
        </w:tc>
      </w:tr>
      <w:tr>
        <w:trPr/>
        <w:tc>
          <w:tcPr>
            <w:tcW w:w="6582" w:type="dxa"/>
            <w:tcBorders/>
            <w:shd w:fill="CCEEFF" w:val="clear"/>
            <w:vAlign w:val="center"/>
          </w:tcPr>
          <w:p>
            <w:pPr>
              <w:pStyle w:val="TableContents"/>
              <w:bidi w:val="0"/>
              <w:spacing w:before="0" w:after="283"/>
              <w:jc w:val="both"/>
              <w:rPr/>
            </w:pPr>
            <w:r>
              <w:rPr/>
              <w:t>Deposits, prepayments and other receivables</w:t>
            </w:r>
          </w:p>
        </w:tc>
        <w:tc>
          <w:tcPr>
            <w:tcW w:w="60" w:type="dxa"/>
            <w:tcBorders/>
            <w:shd w:fill="CCEEFF" w:val="clear"/>
            <w:vAlign w:val="center"/>
          </w:tcPr>
          <w:p>
            <w:pPr>
              <w:pStyle w:val="TableContents"/>
              <w:bidi w:val="0"/>
              <w:spacing w:before="0" w:after="283"/>
              <w:jc w:val="left"/>
              <w:rPr/>
            </w:pPr>
            <w:r>
              <w:rPr/>
              <w:t> </w:t>
            </w:r>
          </w:p>
        </w:tc>
        <w:tc>
          <w:tcPr>
            <w:tcW w:w="1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67</w:t>
            </w:r>
          </w:p>
        </w:tc>
        <w:tc>
          <w:tcPr>
            <w:tcW w:w="2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9" w:type="dxa"/>
            <w:tcBorders>
              <w:bottom w:val="single" w:sz="8" w:space="0" w:color="000000"/>
            </w:tcBorders>
            <w:shd w:fill="CCEEFF" w:val="clear"/>
            <w:tcMar>
              <w:bottom w:w="28" w:type="dxa"/>
            </w:tcMar>
            <w:vAlign w:val="center"/>
          </w:tcPr>
          <w:p>
            <w:pPr>
              <w:pStyle w:val="TableContents"/>
              <w:bidi w:val="0"/>
              <w:spacing w:before="0" w:after="283"/>
              <w:jc w:val="right"/>
              <w:rPr/>
            </w:pPr>
            <w:r>
              <w:rPr/>
              <w:t>184</w:t>
            </w:r>
          </w:p>
        </w:tc>
        <w:tc>
          <w:tcPr>
            <w:tcW w:w="2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7" w:name="xdx_98C_eus-gaap--PrepaidExpenseAndOther"/>
            <w:bookmarkEnd w:id="27"/>
          </w:p>
        </w:tc>
        <w:tc>
          <w:tcPr>
            <w:tcW w:w="726" w:type="dxa"/>
            <w:tcBorders>
              <w:bottom w:val="single" w:sz="8" w:space="0" w:color="000000"/>
            </w:tcBorders>
            <w:shd w:fill="CCEEFF" w:val="clear"/>
            <w:tcMar>
              <w:bottom w:w="28" w:type="dxa"/>
            </w:tcMar>
            <w:vAlign w:val="center"/>
          </w:tcPr>
          <w:p>
            <w:pPr>
              <w:pStyle w:val="TableContents"/>
              <w:bidi w:val="0"/>
              <w:spacing w:before="0" w:after="283"/>
              <w:jc w:val="right"/>
              <w:rPr/>
            </w:pPr>
            <w:r>
              <w:rPr/>
              <w:t>141</w:t>
            </w:r>
          </w:p>
        </w:tc>
        <w:tc>
          <w:tcPr>
            <w:tcW w:w="223" w:type="dxa"/>
            <w:tcBorders/>
            <w:shd w:fill="CCEEFF" w:val="clear"/>
            <w:vAlign w:val="center"/>
          </w:tcPr>
          <w:p>
            <w:pPr>
              <w:pStyle w:val="TableContents"/>
              <w:bidi w:val="0"/>
              <w:spacing w:before="0" w:after="283"/>
              <w:jc w:val="left"/>
              <w:rPr/>
            </w:pPr>
            <w:r>
              <w:rPr/>
              <w:t> </w:t>
            </w:r>
            <w:bookmarkStart w:id="28" w:name="xdx_406_eus-gaap--AssetsCurrent_i02TI_mt"/>
            <w:bookmarkEnd w:id="28"/>
          </w:p>
        </w:tc>
      </w:tr>
      <w:tr>
        <w:trPr/>
        <w:tc>
          <w:tcPr>
            <w:tcW w:w="6582" w:type="dxa"/>
            <w:tcBorders/>
            <w:shd w:fill="FFFFFF" w:val="clear"/>
            <w:vAlign w:val="center"/>
          </w:tcPr>
          <w:p>
            <w:pPr>
              <w:pStyle w:val="TableContents"/>
              <w:bidi w:val="0"/>
              <w:spacing w:before="0" w:after="283"/>
              <w:jc w:val="both"/>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2,057</w:t>
            </w:r>
          </w:p>
        </w:tc>
        <w:tc>
          <w:tcPr>
            <w:tcW w:w="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9" w:type="dxa"/>
            <w:tcBorders>
              <w:bottom w:val="single" w:sz="8" w:space="0" w:color="000000"/>
            </w:tcBorders>
            <w:shd w:fill="FFFFFF" w:val="clear"/>
            <w:tcMar>
              <w:bottom w:w="28" w:type="dxa"/>
            </w:tcMar>
            <w:vAlign w:val="center"/>
          </w:tcPr>
          <w:p>
            <w:pPr>
              <w:pStyle w:val="TableContents"/>
              <w:bidi w:val="0"/>
              <w:spacing w:before="0" w:after="283"/>
              <w:jc w:val="right"/>
              <w:rPr/>
            </w:pPr>
            <w:r>
              <w:rPr/>
              <w:t>3,338</w:t>
            </w:r>
          </w:p>
        </w:tc>
        <w:tc>
          <w:tcPr>
            <w:tcW w:w="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9" w:name="xdx_985_eus-gaap--AssetsCurrent_i02TI_pn"/>
            <w:bookmarkEnd w:id="29"/>
          </w:p>
        </w:tc>
        <w:tc>
          <w:tcPr>
            <w:tcW w:w="726" w:type="dxa"/>
            <w:tcBorders>
              <w:bottom w:val="single" w:sz="8" w:space="0" w:color="000000"/>
            </w:tcBorders>
            <w:shd w:fill="FFFFFF" w:val="clear"/>
            <w:tcMar>
              <w:bottom w:w="28" w:type="dxa"/>
            </w:tcMar>
            <w:vAlign w:val="center"/>
          </w:tcPr>
          <w:p>
            <w:pPr>
              <w:pStyle w:val="TableContents"/>
              <w:bidi w:val="0"/>
              <w:spacing w:before="0" w:after="283"/>
              <w:jc w:val="right"/>
              <w:rPr/>
            </w:pPr>
            <w:r>
              <w:rPr/>
              <w:t>2,579</w:t>
            </w:r>
          </w:p>
        </w:tc>
        <w:tc>
          <w:tcPr>
            <w:tcW w:w="223" w:type="dxa"/>
            <w:tcBorders/>
            <w:shd w:fill="FFFFFF" w:val="clear"/>
            <w:vAlign w:val="center"/>
          </w:tcPr>
          <w:p>
            <w:pPr>
              <w:pStyle w:val="TableContents"/>
              <w:bidi w:val="0"/>
              <w:spacing w:before="0" w:after="283"/>
              <w:jc w:val="left"/>
              <w:rPr/>
            </w:pPr>
            <w:r>
              <w:rPr/>
              <w:t> </w:t>
            </w:r>
          </w:p>
        </w:tc>
      </w:tr>
      <w:tr>
        <w:trPr/>
        <w:tc>
          <w:tcPr>
            <w:tcW w:w="6582"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2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pPr>
            <w:r>
              <w:rPr/>
              <w:t> </w:t>
            </w:r>
          </w:p>
        </w:tc>
        <w:tc>
          <w:tcPr>
            <w:tcW w:w="2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 </w:t>
            </w:r>
          </w:p>
        </w:tc>
        <w:tc>
          <w:tcPr>
            <w:tcW w:w="223" w:type="dxa"/>
            <w:tcBorders/>
            <w:shd w:fill="CCEEFF" w:val="clear"/>
            <w:vAlign w:val="center"/>
          </w:tcPr>
          <w:p>
            <w:pPr>
              <w:pStyle w:val="TableContents"/>
              <w:bidi w:val="0"/>
              <w:spacing w:before="0" w:after="283"/>
              <w:jc w:val="left"/>
              <w:rPr/>
            </w:pPr>
            <w:r>
              <w:rPr/>
              <w:t> </w:t>
            </w:r>
            <w:bookmarkStart w:id="30" w:name="xdx_401_eus-gaap--AssetsNoncurrentAbstra"/>
            <w:bookmarkEnd w:id="30"/>
          </w:p>
        </w:tc>
      </w:tr>
      <w:tr>
        <w:trPr/>
        <w:tc>
          <w:tcPr>
            <w:tcW w:w="6582" w:type="dxa"/>
            <w:tcBorders/>
            <w:shd w:fill="FFFFFF" w:val="clear"/>
            <w:vAlign w:val="center"/>
          </w:tcPr>
          <w:p>
            <w:pPr>
              <w:pStyle w:val="TableContents"/>
              <w:bidi w:val="0"/>
              <w:spacing w:before="0" w:after="283"/>
              <w:jc w:val="both"/>
              <w:rPr/>
            </w:pPr>
            <w:r>
              <w:rPr/>
              <w:t>Non-current assets</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 </w:t>
            </w:r>
          </w:p>
        </w:tc>
        <w:tc>
          <w:tcPr>
            <w:tcW w:w="223" w:type="dxa"/>
            <w:tcBorders/>
            <w:shd w:fill="FFFFFF" w:val="clear"/>
            <w:vAlign w:val="center"/>
          </w:tcPr>
          <w:p>
            <w:pPr>
              <w:pStyle w:val="TableContents"/>
              <w:bidi w:val="0"/>
              <w:spacing w:before="0" w:after="283"/>
              <w:jc w:val="left"/>
              <w:rPr/>
            </w:pPr>
            <w:r>
              <w:rPr/>
              <w:t> </w:t>
            </w:r>
            <w:bookmarkStart w:id="31" w:name="xdx_401_eus-gaap--PropertyPlantAndEquipm"/>
            <w:bookmarkEnd w:id="31"/>
          </w:p>
        </w:tc>
      </w:tr>
      <w:tr>
        <w:trPr/>
        <w:tc>
          <w:tcPr>
            <w:tcW w:w="6582" w:type="dxa"/>
            <w:tcBorders/>
            <w:shd w:fill="CCEEFF" w:val="clear"/>
            <w:vAlign w:val="center"/>
          </w:tcPr>
          <w:p>
            <w:pPr>
              <w:pStyle w:val="TableContents"/>
              <w:bidi w:val="0"/>
              <w:spacing w:before="0" w:after="283"/>
              <w:jc w:val="both"/>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537</w:t>
            </w:r>
          </w:p>
        </w:tc>
        <w:tc>
          <w:tcPr>
            <w:tcW w:w="2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pPr>
            <w:r>
              <w:rPr/>
              <w:t>527</w:t>
            </w:r>
          </w:p>
        </w:tc>
        <w:tc>
          <w:tcPr>
            <w:tcW w:w="2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32" w:name="xdx_989_eus-gaap--PropertyPlantAndEquipm"/>
            <w:bookmarkEnd w:id="32"/>
          </w:p>
        </w:tc>
        <w:tc>
          <w:tcPr>
            <w:tcW w:w="726" w:type="dxa"/>
            <w:tcBorders/>
            <w:shd w:fill="CCEEFF" w:val="clear"/>
            <w:vAlign w:val="center"/>
          </w:tcPr>
          <w:p>
            <w:pPr>
              <w:pStyle w:val="TableContents"/>
              <w:bidi w:val="0"/>
              <w:spacing w:before="0" w:after="283"/>
              <w:jc w:val="right"/>
              <w:rPr/>
            </w:pPr>
            <w:r>
              <w:rPr/>
              <w:t>407</w:t>
            </w:r>
          </w:p>
        </w:tc>
        <w:tc>
          <w:tcPr>
            <w:tcW w:w="223" w:type="dxa"/>
            <w:tcBorders/>
            <w:shd w:fill="CCEEFF" w:val="clear"/>
            <w:vAlign w:val="center"/>
          </w:tcPr>
          <w:p>
            <w:pPr>
              <w:pStyle w:val="TableContents"/>
              <w:bidi w:val="0"/>
              <w:spacing w:before="0" w:after="283"/>
              <w:jc w:val="left"/>
              <w:rPr/>
            </w:pPr>
            <w:r>
              <w:rPr/>
              <w:t> </w:t>
            </w:r>
            <w:bookmarkStart w:id="33" w:name="xdx_406_eus-gaap--IntangibleAssetsNetExc"/>
            <w:bookmarkEnd w:id="33"/>
          </w:p>
        </w:tc>
      </w:tr>
      <w:tr>
        <w:trPr/>
        <w:tc>
          <w:tcPr>
            <w:tcW w:w="6582" w:type="dxa"/>
            <w:tcBorders/>
            <w:shd w:fill="FFFFFF" w:val="clear"/>
            <w:vAlign w:val="center"/>
          </w:tcPr>
          <w:p>
            <w:pPr>
              <w:pStyle w:val="TableContents"/>
              <w:bidi w:val="0"/>
              <w:spacing w:before="0" w:after="283"/>
              <w:jc w:val="both"/>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73</w:t>
            </w:r>
          </w:p>
        </w:tc>
        <w:tc>
          <w:tcPr>
            <w:tcW w:w="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pPr>
            <w:r>
              <w:rPr/>
              <w:t>97</w:t>
            </w:r>
          </w:p>
        </w:tc>
        <w:tc>
          <w:tcPr>
            <w:tcW w:w="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bookmarkStart w:id="34" w:name="xdx_984_eus-gaap--IntangibleAssetsNetExc"/>
            <w:bookmarkEnd w:id="34"/>
          </w:p>
        </w:tc>
        <w:tc>
          <w:tcPr>
            <w:tcW w:w="726" w:type="dxa"/>
            <w:tcBorders/>
            <w:shd w:fill="FFFFFF" w:val="clear"/>
            <w:vAlign w:val="center"/>
          </w:tcPr>
          <w:p>
            <w:pPr>
              <w:pStyle w:val="TableContents"/>
              <w:bidi w:val="0"/>
              <w:spacing w:before="0" w:after="283"/>
              <w:jc w:val="right"/>
              <w:rPr/>
            </w:pPr>
            <w:r>
              <w:rPr/>
              <w:t>74</w:t>
            </w:r>
          </w:p>
        </w:tc>
        <w:tc>
          <w:tcPr>
            <w:tcW w:w="223" w:type="dxa"/>
            <w:tcBorders/>
            <w:shd w:fill="FFFFFF" w:val="clear"/>
            <w:vAlign w:val="center"/>
          </w:tcPr>
          <w:p>
            <w:pPr>
              <w:pStyle w:val="TableContents"/>
              <w:bidi w:val="0"/>
              <w:spacing w:before="0" w:after="283"/>
              <w:jc w:val="left"/>
              <w:rPr/>
            </w:pPr>
            <w:r>
              <w:rPr/>
              <w:t> </w:t>
            </w:r>
            <w:bookmarkStart w:id="35" w:name="xdx_403_eus-gaap--OperatingLeaseRightOfU"/>
            <w:bookmarkEnd w:id="35"/>
          </w:p>
        </w:tc>
      </w:tr>
      <w:tr>
        <w:trPr/>
        <w:tc>
          <w:tcPr>
            <w:tcW w:w="6582" w:type="dxa"/>
            <w:tcBorders/>
            <w:shd w:fill="CCEEFF" w:val="clear"/>
            <w:vAlign w:val="center"/>
          </w:tcPr>
          <w:p>
            <w:pPr>
              <w:pStyle w:val="TableContents"/>
              <w:bidi w:val="0"/>
              <w:spacing w:before="0" w:after="283"/>
              <w:jc w:val="both"/>
              <w:rPr/>
            </w:pPr>
            <w:r>
              <w:rPr/>
              <w:t>Right-of-use asset</w:t>
            </w:r>
          </w:p>
        </w:tc>
        <w:tc>
          <w:tcPr>
            <w:tcW w:w="60" w:type="dxa"/>
            <w:tcBorders/>
            <w:shd w:fill="CCEEFF" w:val="clear"/>
            <w:vAlign w:val="center"/>
          </w:tcPr>
          <w:p>
            <w:pPr>
              <w:pStyle w:val="TableContents"/>
              <w:bidi w:val="0"/>
              <w:spacing w:before="0" w:after="283"/>
              <w:jc w:val="left"/>
              <w:rPr/>
            </w:pPr>
            <w:r>
              <w:rPr/>
              <w:t> </w:t>
            </w:r>
          </w:p>
        </w:tc>
        <w:tc>
          <w:tcPr>
            <w:tcW w:w="1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2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9" w:type="dxa"/>
            <w:tcBorders>
              <w:bottom w:val="single" w:sz="8" w:space="0" w:color="000000"/>
            </w:tcBorders>
            <w:shd w:fill="CCEEFF" w:val="clear"/>
            <w:tcMar>
              <w:bottom w:w="28" w:type="dxa"/>
            </w:tcMar>
            <w:vAlign w:val="center"/>
          </w:tcPr>
          <w:p>
            <w:pPr>
              <w:pStyle w:val="TableContents"/>
              <w:bidi w:val="0"/>
              <w:spacing w:before="0" w:after="283"/>
              <w:jc w:val="right"/>
              <w:rPr/>
            </w:pPr>
            <w:r>
              <w:rPr/>
              <w:t>28</w:t>
            </w:r>
          </w:p>
        </w:tc>
        <w:tc>
          <w:tcPr>
            <w:tcW w:w="2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6" w:name="xdx_98B_eus-gaap--OperatingLeaseRightOfU"/>
            <w:bookmarkEnd w:id="36"/>
          </w:p>
        </w:tc>
        <w:tc>
          <w:tcPr>
            <w:tcW w:w="726" w:type="dxa"/>
            <w:tcBorders>
              <w:bottom w:val="single" w:sz="8" w:space="0" w:color="000000"/>
            </w:tcBorders>
            <w:shd w:fill="CCEEFF" w:val="clear"/>
            <w:tcMar>
              <w:bottom w:w="28" w:type="dxa"/>
            </w:tcMar>
            <w:vAlign w:val="center"/>
          </w:tcPr>
          <w:p>
            <w:pPr>
              <w:pStyle w:val="TableContents"/>
              <w:bidi w:val="0"/>
              <w:spacing w:before="0" w:after="283"/>
              <w:jc w:val="right"/>
              <w:rPr/>
            </w:pPr>
            <w:r>
              <w:rPr/>
              <w:t>22</w:t>
            </w:r>
          </w:p>
        </w:tc>
        <w:tc>
          <w:tcPr>
            <w:tcW w:w="223" w:type="dxa"/>
            <w:tcBorders/>
            <w:shd w:fill="CCEEFF" w:val="clear"/>
            <w:vAlign w:val="center"/>
          </w:tcPr>
          <w:p>
            <w:pPr>
              <w:pStyle w:val="TableContents"/>
              <w:bidi w:val="0"/>
              <w:spacing w:before="0" w:after="283"/>
              <w:jc w:val="left"/>
              <w:rPr/>
            </w:pPr>
            <w:r>
              <w:rPr/>
              <w:t> </w:t>
            </w:r>
            <w:bookmarkStart w:id="37" w:name="xdx_409_eus-gaap--AssetsNoncurrent_i02TI"/>
            <w:bookmarkEnd w:id="37"/>
          </w:p>
        </w:tc>
      </w:tr>
      <w:tr>
        <w:trPr/>
        <w:tc>
          <w:tcPr>
            <w:tcW w:w="6582" w:type="dxa"/>
            <w:tcBorders/>
            <w:shd w:fill="FFFFFF" w:val="clear"/>
            <w:vAlign w:val="center"/>
          </w:tcPr>
          <w:p>
            <w:pPr>
              <w:pStyle w:val="TableContents"/>
              <w:bidi w:val="0"/>
              <w:spacing w:before="0" w:after="283"/>
              <w:jc w:val="both"/>
              <w:rPr/>
            </w:pPr>
            <w:r>
              <w:rPr/>
              <w:t>Total non-current assets</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610</w:t>
            </w:r>
          </w:p>
        </w:tc>
        <w:tc>
          <w:tcPr>
            <w:tcW w:w="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9" w:type="dxa"/>
            <w:tcBorders>
              <w:bottom w:val="single" w:sz="8" w:space="0" w:color="000000"/>
            </w:tcBorders>
            <w:shd w:fill="FFFFFF" w:val="clear"/>
            <w:tcMar>
              <w:bottom w:w="28" w:type="dxa"/>
            </w:tcMar>
            <w:vAlign w:val="center"/>
          </w:tcPr>
          <w:p>
            <w:pPr>
              <w:pStyle w:val="TableContents"/>
              <w:bidi w:val="0"/>
              <w:spacing w:before="0" w:after="283"/>
              <w:jc w:val="right"/>
              <w:rPr/>
            </w:pPr>
            <w:r>
              <w:rPr/>
              <w:t>652</w:t>
            </w:r>
          </w:p>
        </w:tc>
        <w:tc>
          <w:tcPr>
            <w:tcW w:w="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8" w:name="xdx_982_eus-gaap--AssetsNoncurrent_i02TI"/>
            <w:bookmarkEnd w:id="38"/>
          </w:p>
        </w:tc>
        <w:tc>
          <w:tcPr>
            <w:tcW w:w="726" w:type="dxa"/>
            <w:tcBorders>
              <w:bottom w:val="single" w:sz="8" w:space="0" w:color="000000"/>
            </w:tcBorders>
            <w:shd w:fill="FFFFFF" w:val="clear"/>
            <w:tcMar>
              <w:bottom w:w="28" w:type="dxa"/>
            </w:tcMar>
            <w:vAlign w:val="center"/>
          </w:tcPr>
          <w:p>
            <w:pPr>
              <w:pStyle w:val="TableContents"/>
              <w:bidi w:val="0"/>
              <w:spacing w:before="0" w:after="283"/>
              <w:jc w:val="right"/>
              <w:rPr/>
            </w:pPr>
            <w:r>
              <w:rPr/>
              <w:t>503</w:t>
            </w:r>
          </w:p>
        </w:tc>
        <w:tc>
          <w:tcPr>
            <w:tcW w:w="223" w:type="dxa"/>
            <w:tcBorders/>
            <w:shd w:fill="FFFFFF" w:val="clear"/>
            <w:vAlign w:val="center"/>
          </w:tcPr>
          <w:p>
            <w:pPr>
              <w:pStyle w:val="TableContents"/>
              <w:bidi w:val="0"/>
              <w:spacing w:before="0" w:after="283"/>
              <w:jc w:val="left"/>
              <w:rPr/>
            </w:pPr>
            <w:r>
              <w:rPr/>
              <w:t> </w:t>
            </w:r>
            <w:bookmarkStart w:id="39" w:name="xdx_408_eus-gaap--Assets_i01TI_mtCzg48_z"/>
            <w:bookmarkEnd w:id="39"/>
          </w:p>
        </w:tc>
      </w:tr>
      <w:tr>
        <w:trPr/>
        <w:tc>
          <w:tcPr>
            <w:tcW w:w="6582" w:type="dxa"/>
            <w:tcBorders/>
            <w:shd w:fill="CCEEFF" w:val="clear"/>
            <w:vAlign w:val="center"/>
          </w:tcPr>
          <w:p>
            <w:pPr>
              <w:pStyle w:val="TableContents"/>
              <w:bidi w:val="0"/>
              <w:spacing w:before="0" w:after="283"/>
              <w:jc w:val="both"/>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2,667</w:t>
            </w:r>
          </w:p>
        </w:tc>
        <w:tc>
          <w:tcPr>
            <w:tcW w:w="2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9" w:type="dxa"/>
            <w:tcBorders>
              <w:bottom w:val="single" w:sz="8" w:space="0" w:color="000000"/>
            </w:tcBorders>
            <w:shd w:fill="CCEEFF" w:val="clear"/>
            <w:tcMar>
              <w:bottom w:w="28" w:type="dxa"/>
            </w:tcMar>
            <w:vAlign w:val="center"/>
          </w:tcPr>
          <w:p>
            <w:pPr>
              <w:pStyle w:val="TableContents"/>
              <w:bidi w:val="0"/>
              <w:spacing w:before="0" w:after="283"/>
              <w:jc w:val="right"/>
              <w:rPr/>
            </w:pPr>
            <w:r>
              <w:rPr/>
              <w:t>3,990</w:t>
            </w:r>
          </w:p>
        </w:tc>
        <w:tc>
          <w:tcPr>
            <w:tcW w:w="2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0" w:name="xdx_988_eus-gaap--Assets_i02TI_pn3n3_uUS"/>
            <w:bookmarkEnd w:id="40"/>
          </w:p>
        </w:tc>
        <w:tc>
          <w:tcPr>
            <w:tcW w:w="726" w:type="dxa"/>
            <w:tcBorders>
              <w:bottom w:val="single" w:sz="8" w:space="0" w:color="000000"/>
            </w:tcBorders>
            <w:shd w:fill="CCEEFF" w:val="clear"/>
            <w:tcMar>
              <w:bottom w:w="28" w:type="dxa"/>
            </w:tcMar>
            <w:vAlign w:val="center"/>
          </w:tcPr>
          <w:p>
            <w:pPr>
              <w:pStyle w:val="TableContents"/>
              <w:bidi w:val="0"/>
              <w:spacing w:before="0" w:after="283"/>
              <w:jc w:val="right"/>
              <w:rPr/>
            </w:pPr>
            <w:r>
              <w:rPr/>
              <w:t>3,082</w:t>
            </w:r>
          </w:p>
        </w:tc>
        <w:tc>
          <w:tcPr>
            <w:tcW w:w="223" w:type="dxa"/>
            <w:tcBorders/>
            <w:shd w:fill="CCEE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 </w:t>
            </w:r>
          </w:p>
        </w:tc>
        <w:tc>
          <w:tcPr>
            <w:tcW w:w="223" w:type="dxa"/>
            <w:tcBorders/>
            <w:shd w:fill="FFFFFF" w:val="clear"/>
            <w:vAlign w:val="center"/>
          </w:tcPr>
          <w:p>
            <w:pPr>
              <w:pStyle w:val="TableContents"/>
              <w:bidi w:val="0"/>
              <w:spacing w:before="0" w:after="283"/>
              <w:jc w:val="left"/>
              <w:rPr/>
            </w:pPr>
            <w:r>
              <w:rPr/>
              <w:t> </w:t>
            </w:r>
            <w:bookmarkStart w:id="41" w:name="xdx_40F_eus-gaap--LiabilitiesAndStockhol"/>
            <w:bookmarkEnd w:id="41"/>
          </w:p>
        </w:tc>
      </w:tr>
      <w:tr>
        <w:trPr/>
        <w:tc>
          <w:tcPr>
            <w:tcW w:w="6582" w:type="dxa"/>
            <w:tcBorders/>
            <w:shd w:fill="CCEEFF" w:val="clear"/>
            <w:vAlign w:val="center"/>
          </w:tcPr>
          <w:p>
            <w:pPr>
              <w:pStyle w:val="TableContents"/>
              <w:bidi w:val="0"/>
              <w:spacing w:before="0" w:after="283"/>
              <w:jc w:val="both"/>
              <w:rPr>
                <w:b/>
              </w:rPr>
            </w:pPr>
            <w:r>
              <w:rPr>
                <w:b/>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2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pPr>
            <w:r>
              <w:rPr/>
              <w:t> </w:t>
            </w:r>
          </w:p>
        </w:tc>
        <w:tc>
          <w:tcPr>
            <w:tcW w:w="2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 </w:t>
            </w:r>
          </w:p>
        </w:tc>
        <w:tc>
          <w:tcPr>
            <w:tcW w:w="223" w:type="dxa"/>
            <w:tcBorders/>
            <w:shd w:fill="CCEEFF" w:val="clear"/>
            <w:vAlign w:val="center"/>
          </w:tcPr>
          <w:p>
            <w:pPr>
              <w:pStyle w:val="TableContents"/>
              <w:bidi w:val="0"/>
              <w:spacing w:before="0" w:after="283"/>
              <w:jc w:val="left"/>
              <w:rPr/>
            </w:pPr>
            <w:r>
              <w:rPr/>
              <w:t> </w:t>
            </w:r>
            <w:bookmarkStart w:id="42" w:name="xdx_409_eus-gaap--LiabilitiesCurrentAbst"/>
            <w:bookmarkEnd w:id="42"/>
          </w:p>
        </w:tc>
      </w:tr>
      <w:tr>
        <w:trPr/>
        <w:tc>
          <w:tcPr>
            <w:tcW w:w="6582" w:type="dxa"/>
            <w:tcBorders/>
            <w:shd w:fill="FFFFFF" w:val="clear"/>
            <w:vAlign w:val="center"/>
          </w:tcPr>
          <w:p>
            <w:pPr>
              <w:pStyle w:val="TableContents"/>
              <w:bidi w:val="0"/>
              <w:spacing w:before="0" w:after="283"/>
              <w:jc w:val="both"/>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 </w:t>
            </w:r>
          </w:p>
        </w:tc>
        <w:tc>
          <w:tcPr>
            <w:tcW w:w="223" w:type="dxa"/>
            <w:tcBorders/>
            <w:shd w:fill="FFFFFF" w:val="clear"/>
            <w:vAlign w:val="center"/>
          </w:tcPr>
          <w:p>
            <w:pPr>
              <w:pStyle w:val="TableContents"/>
              <w:bidi w:val="0"/>
              <w:spacing w:before="0" w:after="283"/>
              <w:jc w:val="left"/>
              <w:rPr/>
            </w:pPr>
            <w:r>
              <w:rPr/>
              <w:t> </w:t>
            </w:r>
            <w:bookmarkStart w:id="43" w:name="xdx_404_eus-gaap--AccountsPayableAndAccr"/>
            <w:bookmarkEnd w:id="43"/>
          </w:p>
        </w:tc>
      </w:tr>
      <w:tr>
        <w:trPr/>
        <w:tc>
          <w:tcPr>
            <w:tcW w:w="6582" w:type="dxa"/>
            <w:tcBorders/>
            <w:shd w:fill="CCEEFF" w:val="clear"/>
            <w:vAlign w:val="center"/>
          </w:tcPr>
          <w:p>
            <w:pPr>
              <w:pStyle w:val="TableContents"/>
              <w:bidi w:val="0"/>
              <w:spacing w:before="0" w:after="283"/>
              <w:jc w:val="both"/>
              <w:rPr/>
            </w:pPr>
            <w:r>
              <w:rPr/>
              <w:t>Accounts payable and accrued liabilities</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1,274</w:t>
            </w:r>
          </w:p>
        </w:tc>
        <w:tc>
          <w:tcPr>
            <w:tcW w:w="2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pPr>
            <w:r>
              <w:rPr/>
              <w:t>802</w:t>
            </w:r>
          </w:p>
        </w:tc>
        <w:tc>
          <w:tcPr>
            <w:tcW w:w="2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44" w:name="xdx_988_eus-gaap--AccountsPayableAndAccr"/>
            <w:bookmarkEnd w:id="44"/>
          </w:p>
        </w:tc>
        <w:tc>
          <w:tcPr>
            <w:tcW w:w="726" w:type="dxa"/>
            <w:tcBorders/>
            <w:shd w:fill="CCEEFF" w:val="clear"/>
            <w:vAlign w:val="center"/>
          </w:tcPr>
          <w:p>
            <w:pPr>
              <w:pStyle w:val="TableContents"/>
              <w:bidi w:val="0"/>
              <w:spacing w:before="0" w:after="283"/>
              <w:jc w:val="right"/>
              <w:rPr/>
            </w:pPr>
            <w:r>
              <w:rPr/>
              <w:t>620</w:t>
            </w:r>
          </w:p>
        </w:tc>
        <w:tc>
          <w:tcPr>
            <w:tcW w:w="223" w:type="dxa"/>
            <w:tcBorders/>
            <w:shd w:fill="CCEEFF" w:val="clear"/>
            <w:vAlign w:val="center"/>
          </w:tcPr>
          <w:p>
            <w:pPr>
              <w:pStyle w:val="TableContents"/>
              <w:bidi w:val="0"/>
              <w:spacing w:before="0" w:after="283"/>
              <w:jc w:val="left"/>
              <w:rPr/>
            </w:pPr>
            <w:r>
              <w:rPr/>
              <w:t> </w:t>
            </w:r>
            <w:bookmarkStart w:id="45" w:name="xdx_40A_eus-gaap--LoansPayableCurrent_i0"/>
            <w:bookmarkEnd w:id="45"/>
          </w:p>
        </w:tc>
      </w:tr>
      <w:tr>
        <w:trPr/>
        <w:tc>
          <w:tcPr>
            <w:tcW w:w="6582" w:type="dxa"/>
            <w:tcBorders/>
            <w:shd w:fill="FFFFFF" w:val="clear"/>
            <w:vAlign w:val="center"/>
          </w:tcPr>
          <w:p>
            <w:pPr>
              <w:pStyle w:val="TableContents"/>
              <w:bidi w:val="0"/>
              <w:spacing w:before="0" w:after="283"/>
              <w:jc w:val="both"/>
              <w:rPr/>
            </w:pPr>
            <w:r>
              <w:rPr/>
              <w:t>Bank borrowings</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10</w:t>
            </w:r>
          </w:p>
        </w:tc>
        <w:tc>
          <w:tcPr>
            <w:tcW w:w="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pPr>
            <w:r>
              <w:rPr/>
              <w:t>14</w:t>
            </w:r>
          </w:p>
        </w:tc>
        <w:tc>
          <w:tcPr>
            <w:tcW w:w="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bookmarkStart w:id="46" w:name="xdx_989_eus-gaap--LoansPayableCurrent_i0"/>
            <w:bookmarkEnd w:id="46"/>
          </w:p>
        </w:tc>
        <w:tc>
          <w:tcPr>
            <w:tcW w:w="726" w:type="dxa"/>
            <w:tcBorders/>
            <w:shd w:fill="FFFFFF" w:val="clear"/>
            <w:vAlign w:val="center"/>
          </w:tcPr>
          <w:p>
            <w:pPr>
              <w:pStyle w:val="TableContents"/>
              <w:bidi w:val="0"/>
              <w:spacing w:before="0" w:after="283"/>
              <w:jc w:val="right"/>
              <w:rPr/>
            </w:pPr>
            <w:r>
              <w:rPr/>
              <w:t>11</w:t>
            </w:r>
          </w:p>
        </w:tc>
        <w:tc>
          <w:tcPr>
            <w:tcW w:w="223" w:type="dxa"/>
            <w:tcBorders/>
            <w:shd w:fill="FFFFFF" w:val="clear"/>
            <w:vAlign w:val="center"/>
          </w:tcPr>
          <w:p>
            <w:pPr>
              <w:pStyle w:val="TableContents"/>
              <w:bidi w:val="0"/>
              <w:spacing w:before="0" w:after="283"/>
              <w:jc w:val="left"/>
              <w:rPr/>
            </w:pPr>
            <w:r>
              <w:rPr/>
              <w:t> </w:t>
            </w:r>
            <w:bookmarkStart w:id="47" w:name="xdx_406_eus-gaap--OperatingLeaseLiabilit"/>
            <w:bookmarkEnd w:id="47"/>
          </w:p>
        </w:tc>
      </w:tr>
      <w:tr>
        <w:trPr/>
        <w:tc>
          <w:tcPr>
            <w:tcW w:w="6582" w:type="dxa"/>
            <w:tcBorders/>
            <w:shd w:fill="CCEEFF" w:val="clear"/>
            <w:vAlign w:val="center"/>
          </w:tcPr>
          <w:p>
            <w:pPr>
              <w:pStyle w:val="TableContents"/>
              <w:bidi w:val="0"/>
              <w:spacing w:before="0" w:after="283"/>
              <w:jc w:val="both"/>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w:t>
            </w:r>
          </w:p>
        </w:tc>
        <w:tc>
          <w:tcPr>
            <w:tcW w:w="2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pPr>
            <w:r>
              <w:rPr/>
              <w:t>28</w:t>
            </w:r>
          </w:p>
        </w:tc>
        <w:tc>
          <w:tcPr>
            <w:tcW w:w="2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48" w:name="xdx_98F_eus-gaap--OperatingLeaseLiabilit"/>
            <w:bookmarkEnd w:id="48"/>
          </w:p>
        </w:tc>
        <w:tc>
          <w:tcPr>
            <w:tcW w:w="726" w:type="dxa"/>
            <w:tcBorders/>
            <w:shd w:fill="CCEEFF" w:val="clear"/>
            <w:vAlign w:val="center"/>
          </w:tcPr>
          <w:p>
            <w:pPr>
              <w:pStyle w:val="TableContents"/>
              <w:bidi w:val="0"/>
              <w:spacing w:before="0" w:after="283"/>
              <w:jc w:val="right"/>
              <w:rPr/>
            </w:pPr>
            <w:r>
              <w:rPr/>
              <w:t>22</w:t>
            </w:r>
          </w:p>
        </w:tc>
        <w:tc>
          <w:tcPr>
            <w:tcW w:w="223" w:type="dxa"/>
            <w:tcBorders/>
            <w:shd w:fill="CCEEFF" w:val="clear"/>
            <w:vAlign w:val="center"/>
          </w:tcPr>
          <w:p>
            <w:pPr>
              <w:pStyle w:val="TableContents"/>
              <w:bidi w:val="0"/>
              <w:spacing w:before="0" w:after="283"/>
              <w:jc w:val="left"/>
              <w:rPr/>
            </w:pPr>
            <w:r>
              <w:rPr/>
              <w:t> </w:t>
            </w:r>
            <w:bookmarkStart w:id="49" w:name="xdx_40D_eus-gaap--OtherLiabilitiesCurren"/>
            <w:bookmarkEnd w:id="49"/>
          </w:p>
        </w:tc>
      </w:tr>
      <w:tr>
        <w:trPr/>
        <w:tc>
          <w:tcPr>
            <w:tcW w:w="6582" w:type="dxa"/>
            <w:tcBorders/>
            <w:shd w:fill="FFFFFF" w:val="clear"/>
            <w:vAlign w:val="center"/>
          </w:tcPr>
          <w:p>
            <w:pPr>
              <w:pStyle w:val="TableContents"/>
              <w:bidi w:val="0"/>
              <w:spacing w:before="0" w:after="283"/>
              <w:jc w:val="both"/>
              <w:rPr/>
            </w:pPr>
            <w:r>
              <w:rPr/>
              <w:t>Amount due to director</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218</w:t>
            </w:r>
          </w:p>
        </w:tc>
        <w:tc>
          <w:tcPr>
            <w:tcW w:w="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pPr>
            <w:r>
              <w:rPr/>
              <w:t>2</w:t>
            </w:r>
          </w:p>
        </w:tc>
        <w:tc>
          <w:tcPr>
            <w:tcW w:w="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bookmarkStart w:id="50" w:name="xdx_986_eus-gaap--OtherLiabilitiesCurren"/>
            <w:bookmarkEnd w:id="50"/>
          </w:p>
        </w:tc>
        <w:tc>
          <w:tcPr>
            <w:tcW w:w="726" w:type="dxa"/>
            <w:tcBorders/>
            <w:shd w:fill="FFFFFF" w:val="clear"/>
            <w:vAlign w:val="center"/>
          </w:tcPr>
          <w:p>
            <w:pPr>
              <w:pStyle w:val="TableContents"/>
              <w:bidi w:val="0"/>
              <w:spacing w:before="0" w:after="283"/>
              <w:jc w:val="right"/>
              <w:rPr/>
            </w:pPr>
            <w:r>
              <w:rPr/>
              <w:t>1</w:t>
            </w:r>
          </w:p>
        </w:tc>
        <w:tc>
          <w:tcPr>
            <w:tcW w:w="223" w:type="dxa"/>
            <w:tcBorders/>
            <w:shd w:fill="FFFFFF" w:val="clear"/>
            <w:vAlign w:val="center"/>
          </w:tcPr>
          <w:p>
            <w:pPr>
              <w:pStyle w:val="TableContents"/>
              <w:bidi w:val="0"/>
              <w:spacing w:before="0" w:after="283"/>
              <w:jc w:val="left"/>
              <w:rPr/>
            </w:pPr>
            <w:r>
              <w:rPr/>
              <w:t> </w:t>
            </w:r>
            <w:bookmarkStart w:id="51" w:name="xdx_405_eus-gaap--TaxesPayableCurrent_i0"/>
            <w:bookmarkEnd w:id="51"/>
          </w:p>
        </w:tc>
      </w:tr>
      <w:tr>
        <w:trPr/>
        <w:tc>
          <w:tcPr>
            <w:tcW w:w="6582" w:type="dxa"/>
            <w:tcBorders/>
            <w:shd w:fill="CCEEFF" w:val="clear"/>
            <w:vAlign w:val="center"/>
          </w:tcPr>
          <w:p>
            <w:pPr>
              <w:pStyle w:val="TableContents"/>
              <w:bidi w:val="0"/>
              <w:spacing w:before="0" w:after="283"/>
              <w:jc w:val="both"/>
              <w:rPr/>
            </w:pPr>
            <w:r>
              <w:rPr/>
              <w:t>Income tax payable</w:t>
            </w:r>
          </w:p>
        </w:tc>
        <w:tc>
          <w:tcPr>
            <w:tcW w:w="60" w:type="dxa"/>
            <w:tcBorders/>
            <w:shd w:fill="CCEEFF" w:val="clear"/>
            <w:vAlign w:val="center"/>
          </w:tcPr>
          <w:p>
            <w:pPr>
              <w:pStyle w:val="TableContents"/>
              <w:bidi w:val="0"/>
              <w:spacing w:before="0" w:after="283"/>
              <w:jc w:val="left"/>
              <w:rPr/>
            </w:pPr>
            <w:r>
              <w:rPr/>
              <w:t> </w:t>
            </w:r>
          </w:p>
        </w:tc>
        <w:tc>
          <w:tcPr>
            <w:tcW w:w="1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2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2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2" w:name="xdx_982_eus-gaap--TaxesPayableCurrent_i0"/>
            <w:bookmarkEnd w:id="52"/>
          </w:p>
        </w:tc>
        <w:tc>
          <w:tcPr>
            <w:tcW w:w="72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223" w:type="dxa"/>
            <w:tcBorders/>
            <w:shd w:fill="CCEEFF" w:val="clear"/>
            <w:vAlign w:val="center"/>
          </w:tcPr>
          <w:p>
            <w:pPr>
              <w:pStyle w:val="TableContents"/>
              <w:bidi w:val="0"/>
              <w:spacing w:before="0" w:after="283"/>
              <w:jc w:val="left"/>
              <w:rPr/>
            </w:pPr>
            <w:r>
              <w:rPr/>
              <w:t> </w:t>
            </w:r>
            <w:bookmarkStart w:id="53" w:name="xdx_402_eus-gaap--LiabilitiesCurrent_i02"/>
            <w:bookmarkEnd w:id="53"/>
          </w:p>
        </w:tc>
      </w:tr>
      <w:tr>
        <w:trPr/>
        <w:tc>
          <w:tcPr>
            <w:tcW w:w="6582" w:type="dxa"/>
            <w:tcBorders/>
            <w:shd w:fill="FFFFFF" w:val="clear"/>
            <w:vAlign w:val="center"/>
          </w:tcPr>
          <w:p>
            <w:pPr>
              <w:pStyle w:val="TableContents"/>
              <w:bidi w:val="0"/>
              <w:spacing w:before="0" w:after="283"/>
              <w:jc w:val="both"/>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1,510</w:t>
            </w:r>
          </w:p>
        </w:tc>
        <w:tc>
          <w:tcPr>
            <w:tcW w:w="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9" w:type="dxa"/>
            <w:tcBorders>
              <w:bottom w:val="single" w:sz="8" w:space="0" w:color="000000"/>
            </w:tcBorders>
            <w:shd w:fill="FFFFFF" w:val="clear"/>
            <w:tcMar>
              <w:bottom w:w="28" w:type="dxa"/>
            </w:tcMar>
            <w:vAlign w:val="center"/>
          </w:tcPr>
          <w:p>
            <w:pPr>
              <w:pStyle w:val="TableContents"/>
              <w:bidi w:val="0"/>
              <w:spacing w:before="0" w:after="283"/>
              <w:jc w:val="right"/>
              <w:rPr/>
            </w:pPr>
            <w:r>
              <w:rPr/>
              <w:t>846</w:t>
            </w:r>
          </w:p>
        </w:tc>
        <w:tc>
          <w:tcPr>
            <w:tcW w:w="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4" w:name="xdx_98D_eus-gaap--LiabilitiesCurrent_i02"/>
            <w:bookmarkEnd w:id="54"/>
          </w:p>
        </w:tc>
        <w:tc>
          <w:tcPr>
            <w:tcW w:w="726" w:type="dxa"/>
            <w:tcBorders>
              <w:bottom w:val="single" w:sz="8" w:space="0" w:color="000000"/>
            </w:tcBorders>
            <w:shd w:fill="FFFFFF" w:val="clear"/>
            <w:tcMar>
              <w:bottom w:w="28" w:type="dxa"/>
            </w:tcMar>
            <w:vAlign w:val="center"/>
          </w:tcPr>
          <w:p>
            <w:pPr>
              <w:pStyle w:val="TableContents"/>
              <w:bidi w:val="0"/>
              <w:spacing w:before="0" w:after="283"/>
              <w:jc w:val="right"/>
              <w:rPr/>
            </w:pPr>
            <w:r>
              <w:rPr/>
              <w:t>654</w:t>
            </w:r>
          </w:p>
        </w:tc>
        <w:tc>
          <w:tcPr>
            <w:tcW w:w="223" w:type="dxa"/>
            <w:tcBorders/>
            <w:shd w:fill="FFFFFF" w:val="clear"/>
            <w:vAlign w:val="center"/>
          </w:tcPr>
          <w:p>
            <w:pPr>
              <w:pStyle w:val="TableContents"/>
              <w:bidi w:val="0"/>
              <w:spacing w:before="0" w:after="283"/>
              <w:jc w:val="left"/>
              <w:rPr/>
            </w:pPr>
            <w:r>
              <w:rPr/>
              <w:t> </w:t>
            </w:r>
          </w:p>
        </w:tc>
      </w:tr>
      <w:tr>
        <w:trPr/>
        <w:tc>
          <w:tcPr>
            <w:tcW w:w="6582"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2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pPr>
            <w:r>
              <w:rPr/>
              <w:t> </w:t>
            </w:r>
          </w:p>
        </w:tc>
        <w:tc>
          <w:tcPr>
            <w:tcW w:w="2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 </w:t>
            </w:r>
          </w:p>
        </w:tc>
        <w:tc>
          <w:tcPr>
            <w:tcW w:w="223" w:type="dxa"/>
            <w:tcBorders/>
            <w:shd w:fill="CCEEFF" w:val="clear"/>
            <w:vAlign w:val="center"/>
          </w:tcPr>
          <w:p>
            <w:pPr>
              <w:pStyle w:val="TableContents"/>
              <w:bidi w:val="0"/>
              <w:spacing w:before="0" w:after="283"/>
              <w:jc w:val="left"/>
              <w:rPr/>
            </w:pPr>
            <w:r>
              <w:rPr/>
              <w:t> </w:t>
            </w:r>
            <w:bookmarkStart w:id="55" w:name="xdx_404_eus-gaap--LiabilitiesNoncurrentA"/>
            <w:bookmarkEnd w:id="55"/>
          </w:p>
        </w:tc>
      </w:tr>
      <w:tr>
        <w:trPr/>
        <w:tc>
          <w:tcPr>
            <w:tcW w:w="6582" w:type="dxa"/>
            <w:tcBorders/>
            <w:shd w:fill="FFFFFF" w:val="clear"/>
            <w:vAlign w:val="center"/>
          </w:tcPr>
          <w:p>
            <w:pPr>
              <w:pStyle w:val="TableContents"/>
              <w:bidi w:val="0"/>
              <w:spacing w:before="0" w:after="283"/>
              <w:jc w:val="both"/>
              <w:rPr/>
            </w:pPr>
            <w:r>
              <w:rPr/>
              <w:t>Non-current liabilities</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 </w:t>
            </w:r>
          </w:p>
        </w:tc>
        <w:tc>
          <w:tcPr>
            <w:tcW w:w="223" w:type="dxa"/>
            <w:tcBorders/>
            <w:shd w:fill="FFFFFF" w:val="clear"/>
            <w:vAlign w:val="center"/>
          </w:tcPr>
          <w:p>
            <w:pPr>
              <w:pStyle w:val="TableContents"/>
              <w:bidi w:val="0"/>
              <w:spacing w:before="0" w:after="283"/>
              <w:jc w:val="left"/>
              <w:rPr/>
            </w:pPr>
            <w:r>
              <w:rPr/>
              <w:t> </w:t>
            </w:r>
            <w:bookmarkStart w:id="56" w:name="xdx_40D_eus-gaap--LongTermLoansPayable_i"/>
            <w:bookmarkEnd w:id="56"/>
          </w:p>
        </w:tc>
      </w:tr>
      <w:tr>
        <w:trPr/>
        <w:tc>
          <w:tcPr>
            <w:tcW w:w="6582" w:type="dxa"/>
            <w:tcBorders/>
            <w:shd w:fill="CCEEFF" w:val="clear"/>
            <w:vAlign w:val="center"/>
          </w:tcPr>
          <w:p>
            <w:pPr>
              <w:pStyle w:val="TableContents"/>
              <w:bidi w:val="0"/>
              <w:spacing w:before="0" w:after="283"/>
              <w:jc w:val="both"/>
              <w:rPr/>
            </w:pPr>
            <w:r>
              <w:rPr/>
              <w:t>Bank borrowings</w:t>
            </w:r>
          </w:p>
        </w:tc>
        <w:tc>
          <w:tcPr>
            <w:tcW w:w="60" w:type="dxa"/>
            <w:tcBorders/>
            <w:shd w:fill="CCEEFF" w:val="clear"/>
            <w:vAlign w:val="center"/>
          </w:tcPr>
          <w:p>
            <w:pPr>
              <w:pStyle w:val="TableContents"/>
              <w:bidi w:val="0"/>
              <w:spacing w:before="0" w:after="283"/>
              <w:jc w:val="left"/>
              <w:rPr/>
            </w:pPr>
            <w:r>
              <w:rPr/>
              <w:t> </w:t>
            </w:r>
          </w:p>
        </w:tc>
        <w:tc>
          <w:tcPr>
            <w:tcW w:w="1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388</w:t>
            </w:r>
          </w:p>
        </w:tc>
        <w:tc>
          <w:tcPr>
            <w:tcW w:w="2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9" w:type="dxa"/>
            <w:tcBorders>
              <w:bottom w:val="single" w:sz="8" w:space="0" w:color="000000"/>
            </w:tcBorders>
            <w:shd w:fill="CCEEFF" w:val="clear"/>
            <w:tcMar>
              <w:bottom w:w="28" w:type="dxa"/>
            </w:tcMar>
            <w:vAlign w:val="center"/>
          </w:tcPr>
          <w:p>
            <w:pPr>
              <w:pStyle w:val="TableContents"/>
              <w:bidi w:val="0"/>
              <w:spacing w:before="0" w:after="283"/>
              <w:jc w:val="right"/>
              <w:rPr/>
            </w:pPr>
            <w:r>
              <w:rPr/>
              <w:t>378</w:t>
            </w:r>
          </w:p>
        </w:tc>
        <w:tc>
          <w:tcPr>
            <w:tcW w:w="2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7" w:name="xdx_98E_eus-gaap--LongTermLoansPayable_i"/>
            <w:bookmarkEnd w:id="57"/>
          </w:p>
        </w:tc>
        <w:tc>
          <w:tcPr>
            <w:tcW w:w="726" w:type="dxa"/>
            <w:tcBorders>
              <w:bottom w:val="single" w:sz="8" w:space="0" w:color="000000"/>
            </w:tcBorders>
            <w:shd w:fill="CCEEFF" w:val="clear"/>
            <w:tcMar>
              <w:bottom w:w="28" w:type="dxa"/>
            </w:tcMar>
            <w:vAlign w:val="center"/>
          </w:tcPr>
          <w:p>
            <w:pPr>
              <w:pStyle w:val="TableContents"/>
              <w:bidi w:val="0"/>
              <w:spacing w:before="0" w:after="283"/>
              <w:jc w:val="right"/>
              <w:rPr/>
            </w:pPr>
            <w:r>
              <w:rPr/>
              <w:t>292</w:t>
            </w:r>
          </w:p>
        </w:tc>
        <w:tc>
          <w:tcPr>
            <w:tcW w:w="223" w:type="dxa"/>
            <w:tcBorders/>
            <w:shd w:fill="CCEEFF" w:val="clear"/>
            <w:vAlign w:val="center"/>
          </w:tcPr>
          <w:p>
            <w:pPr>
              <w:pStyle w:val="TableContents"/>
              <w:bidi w:val="0"/>
              <w:spacing w:before="0" w:after="283"/>
              <w:jc w:val="left"/>
              <w:rPr/>
            </w:pPr>
            <w:r>
              <w:rPr/>
              <w:t> </w:t>
            </w:r>
            <w:bookmarkStart w:id="58" w:name="xdx_40C_eus-gaap--Liabilities_i01TI_maCz"/>
            <w:bookmarkEnd w:id="58"/>
          </w:p>
        </w:tc>
      </w:tr>
      <w:tr>
        <w:trPr/>
        <w:tc>
          <w:tcPr>
            <w:tcW w:w="6582"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1,898</w:t>
            </w:r>
          </w:p>
        </w:tc>
        <w:tc>
          <w:tcPr>
            <w:tcW w:w="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9" w:type="dxa"/>
            <w:tcBorders>
              <w:bottom w:val="single" w:sz="8" w:space="0" w:color="000000"/>
            </w:tcBorders>
            <w:shd w:fill="FFFFFF" w:val="clear"/>
            <w:tcMar>
              <w:bottom w:w="28" w:type="dxa"/>
            </w:tcMar>
            <w:vAlign w:val="center"/>
          </w:tcPr>
          <w:p>
            <w:pPr>
              <w:pStyle w:val="TableContents"/>
              <w:bidi w:val="0"/>
              <w:spacing w:before="0" w:after="283"/>
              <w:jc w:val="right"/>
              <w:rPr/>
            </w:pPr>
            <w:r>
              <w:rPr/>
              <w:t>1,224</w:t>
            </w:r>
          </w:p>
        </w:tc>
        <w:tc>
          <w:tcPr>
            <w:tcW w:w="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9" w:name="xdx_986_eus-gaap--Liabilities_iTI_pn3n3_"/>
            <w:bookmarkEnd w:id="59"/>
          </w:p>
        </w:tc>
        <w:tc>
          <w:tcPr>
            <w:tcW w:w="726" w:type="dxa"/>
            <w:tcBorders>
              <w:bottom w:val="single" w:sz="8" w:space="0" w:color="000000"/>
            </w:tcBorders>
            <w:shd w:fill="FFFFFF" w:val="clear"/>
            <w:tcMar>
              <w:bottom w:w="28" w:type="dxa"/>
            </w:tcMar>
            <w:vAlign w:val="center"/>
          </w:tcPr>
          <w:p>
            <w:pPr>
              <w:pStyle w:val="TableContents"/>
              <w:bidi w:val="0"/>
              <w:spacing w:before="0" w:after="283"/>
              <w:jc w:val="right"/>
              <w:rPr/>
            </w:pPr>
            <w:r>
              <w:rPr/>
              <w:t>946</w:t>
            </w:r>
          </w:p>
        </w:tc>
        <w:tc>
          <w:tcPr>
            <w:tcW w:w="223" w:type="dxa"/>
            <w:tcBorders/>
            <w:shd w:fill="FFFFFF" w:val="clear"/>
            <w:vAlign w:val="center"/>
          </w:tcPr>
          <w:p>
            <w:pPr>
              <w:pStyle w:val="TableContents"/>
              <w:bidi w:val="0"/>
              <w:spacing w:before="0" w:after="283"/>
              <w:jc w:val="left"/>
              <w:rPr/>
            </w:pPr>
            <w:r>
              <w:rPr/>
              <w:t> </w:t>
            </w:r>
          </w:p>
        </w:tc>
      </w:tr>
      <w:tr>
        <w:trPr/>
        <w:tc>
          <w:tcPr>
            <w:tcW w:w="6582"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2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pPr>
            <w:r>
              <w:rPr/>
              <w:t> </w:t>
            </w:r>
          </w:p>
        </w:tc>
        <w:tc>
          <w:tcPr>
            <w:tcW w:w="2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 </w:t>
            </w:r>
          </w:p>
        </w:tc>
        <w:tc>
          <w:tcPr>
            <w:tcW w:w="223" w:type="dxa"/>
            <w:tcBorders/>
            <w:shd w:fill="CCEEFF" w:val="clear"/>
            <w:vAlign w:val="center"/>
          </w:tcPr>
          <w:p>
            <w:pPr>
              <w:pStyle w:val="TableContents"/>
              <w:bidi w:val="0"/>
              <w:spacing w:before="0" w:after="283"/>
              <w:jc w:val="left"/>
              <w:rPr/>
            </w:pPr>
            <w:r>
              <w:rPr/>
              <w:t> </w:t>
            </w:r>
            <w:bookmarkStart w:id="60" w:name="xdx_402_eus-gaap--CommitmentsAndContinge"/>
            <w:bookmarkEnd w:id="60"/>
          </w:p>
        </w:tc>
      </w:tr>
      <w:tr>
        <w:trPr/>
        <w:tc>
          <w:tcPr>
            <w:tcW w:w="6582" w:type="dxa"/>
            <w:tcBorders/>
            <w:shd w:fill="FFFFFF" w:val="clear"/>
            <w:vAlign w:val="center"/>
          </w:tcPr>
          <w:p>
            <w:pPr>
              <w:pStyle w:val="TableContents"/>
              <w:bidi w:val="0"/>
              <w:spacing w:before="0" w:after="283"/>
              <w:jc w:val="both"/>
              <w:rPr>
                <w:b/>
              </w:rPr>
            </w:pPr>
            <w:r>
              <w:rPr>
                <w:b/>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w:t>
            </w:r>
          </w:p>
        </w:tc>
        <w:tc>
          <w:tcPr>
            <w:tcW w:w="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pPr>
            <w:r>
              <w:rPr/>
              <w:t>-</w:t>
            </w:r>
          </w:p>
        </w:tc>
        <w:tc>
          <w:tcPr>
            <w:tcW w:w="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bookmarkStart w:id="61" w:name="xdx_989_eus-gaap--CommitmentsAndContinge"/>
            <w:bookmarkEnd w:id="61"/>
          </w:p>
        </w:tc>
        <w:tc>
          <w:tcPr>
            <w:tcW w:w="726" w:type="dxa"/>
            <w:tcBorders/>
            <w:shd w:fill="FFFFFF" w:val="clear"/>
            <w:vAlign w:val="center"/>
          </w:tcPr>
          <w:p>
            <w:pPr>
              <w:pStyle w:val="TableContents"/>
              <w:bidi w:val="0"/>
              <w:spacing w:before="0" w:after="283"/>
              <w:jc w:val="right"/>
              <w:rPr/>
            </w:pPr>
            <w:r>
              <w:rPr/>
              <w:t>-</w:t>
            </w:r>
          </w:p>
        </w:tc>
        <w:tc>
          <w:tcPr>
            <w:tcW w:w="223" w:type="dxa"/>
            <w:tcBorders/>
            <w:shd w:fill="FFFFFF" w:val="clear"/>
            <w:vAlign w:val="center"/>
          </w:tcPr>
          <w:p>
            <w:pPr>
              <w:pStyle w:val="TableContents"/>
              <w:bidi w:val="0"/>
              <w:spacing w:before="0" w:after="283"/>
              <w:jc w:val="left"/>
              <w:rPr/>
            </w:pPr>
            <w:r>
              <w:rPr/>
              <w:t> </w:t>
            </w:r>
          </w:p>
        </w:tc>
      </w:tr>
      <w:tr>
        <w:trPr/>
        <w:tc>
          <w:tcPr>
            <w:tcW w:w="6582"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2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pPr>
            <w:r>
              <w:rPr/>
              <w:t> </w:t>
            </w:r>
          </w:p>
        </w:tc>
        <w:tc>
          <w:tcPr>
            <w:tcW w:w="2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 </w:t>
            </w:r>
          </w:p>
        </w:tc>
        <w:tc>
          <w:tcPr>
            <w:tcW w:w="223" w:type="dxa"/>
            <w:tcBorders/>
            <w:shd w:fill="CCEEFF" w:val="clear"/>
            <w:vAlign w:val="center"/>
          </w:tcPr>
          <w:p>
            <w:pPr>
              <w:pStyle w:val="TableContents"/>
              <w:bidi w:val="0"/>
              <w:spacing w:before="0" w:after="283"/>
              <w:jc w:val="left"/>
              <w:rPr/>
            </w:pPr>
            <w:r>
              <w:rPr/>
              <w:t> </w:t>
            </w:r>
            <w:bookmarkStart w:id="62" w:name="xdx_402_eus-gaap--StockholdersEquityAbst"/>
            <w:bookmarkEnd w:id="62"/>
          </w:p>
        </w:tc>
      </w:tr>
      <w:tr>
        <w:trPr/>
        <w:tc>
          <w:tcPr>
            <w:tcW w:w="6582" w:type="dxa"/>
            <w:tcBorders/>
            <w:shd w:fill="FFFFFF" w:val="clear"/>
            <w:vAlign w:val="center"/>
          </w:tcPr>
          <w:p>
            <w:pPr>
              <w:pStyle w:val="TableContents"/>
              <w:bidi w:val="0"/>
              <w:spacing w:before="0" w:after="283"/>
              <w:jc w:val="both"/>
              <w:rPr>
                <w:b/>
              </w:rPr>
            </w:pPr>
            <w:r>
              <w:rPr>
                <w:b/>
              </w:rPr>
              <w:t>Shareholders’ Equity</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 </w:t>
            </w:r>
          </w:p>
        </w:tc>
        <w:tc>
          <w:tcPr>
            <w:tcW w:w="223" w:type="dxa"/>
            <w:tcBorders/>
            <w:shd w:fill="FFFFFF" w:val="clear"/>
            <w:vAlign w:val="center"/>
          </w:tcPr>
          <w:p>
            <w:pPr>
              <w:pStyle w:val="TableContents"/>
              <w:bidi w:val="0"/>
              <w:spacing w:before="0" w:after="283"/>
              <w:jc w:val="left"/>
              <w:rPr/>
            </w:pPr>
            <w:r>
              <w:rPr/>
              <w:t> </w:t>
            </w:r>
            <w:bookmarkStart w:id="63" w:name="xdx_409_eus-gaap--CommonStockValue_i02I_"/>
            <w:bookmarkEnd w:id="63"/>
          </w:p>
        </w:tc>
      </w:tr>
      <w:tr>
        <w:trPr/>
        <w:tc>
          <w:tcPr>
            <w:tcW w:w="6582" w:type="dxa"/>
            <w:tcBorders/>
            <w:shd w:fill="CCEEFF" w:val="clear"/>
            <w:vAlign w:val="center"/>
          </w:tcPr>
          <w:p>
            <w:pPr>
              <w:pStyle w:val="TableContents"/>
              <w:bidi w:val="0"/>
              <w:spacing w:before="0" w:after="283"/>
              <w:jc w:val="left"/>
              <w:rPr/>
            </w:pPr>
            <w:r>
              <w:rPr/>
              <w:t>Ordinary share, par value US$</w:t>
            </w:r>
            <w:bookmarkStart w:id="64" w:name="xdx_90E_eus-gaap--CommonStockParOrStated"/>
            <w:bookmarkStart w:id="65" w:name="xdx_90B_eus-gaap--CommonStockParOrStated"/>
            <w:bookmarkEnd w:id="64"/>
            <w:bookmarkEnd w:id="65"/>
            <w:r>
              <w:rPr/>
              <w:t xml:space="preserve">0.00225, </w:t>
            </w:r>
            <w:bookmarkStart w:id="66" w:name="xdx_900_eus-gaap--CommonStockSharesAutho"/>
            <w:bookmarkStart w:id="67" w:name="xdx_90D_eus-gaap--CommonStockSharesAutho"/>
            <w:bookmarkEnd w:id="66"/>
            <w:bookmarkEnd w:id="67"/>
            <w:r>
              <w:rPr/>
              <w:t xml:space="preserve">10,222,222,222.22 shares authorized, </w:t>
            </w:r>
            <w:bookmarkStart w:id="68" w:name="xdx_90B_eus-gaap--CommonStockSharesOutst"/>
            <w:bookmarkStart w:id="69" w:name="xdx_906_eus-gaap--CommonStockSharesIssue"/>
            <w:bookmarkStart w:id="70" w:name="xdx_908_eus-gaap--CommonStockSharesOutst"/>
            <w:bookmarkStart w:id="71" w:name="xdx_901_eus-gaap--CommonStockSharesIssue"/>
            <w:bookmarkEnd w:id="68"/>
            <w:bookmarkEnd w:id="69"/>
            <w:bookmarkEnd w:id="70"/>
            <w:bookmarkEnd w:id="71"/>
            <w:r>
              <w:rPr/>
              <w:t xml:space="preserve">37,777.78 shares issues and outstanding </w:t>
            </w:r>
            <w:bookmarkStart w:id="72" w:name="xdx_F4C_z8xSHwGGZ15a"/>
            <w:bookmarkEnd w:id="72"/>
            <w:r>
              <w:rPr/>
              <w:t>*</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w:t>
            </w:r>
            <w:bookmarkStart w:id="73" w:name="xdx_F2D_zlAXf0i0rXTe"/>
            <w:bookmarkEnd w:id="73"/>
            <w:r>
              <w:rPr>
                <w:rFonts w:ascii="Times New Roman;Times;Serif" w:hAnsi="Times New Roman;Times;Serif"/>
                <w:sz w:val="20"/>
              </w:rPr>
              <w:t>**</w:t>
            </w:r>
          </w:p>
        </w:tc>
        <w:tc>
          <w:tcPr>
            <w:tcW w:w="20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pPr>
            <w:r>
              <w:rPr/>
              <w:t>-</w:t>
            </w:r>
            <w:bookmarkStart w:id="74" w:name="xdx_F24_z28qmHRyMAI8"/>
            <w:bookmarkEnd w:id="74"/>
            <w:r>
              <w:rPr>
                <w:rFonts w:ascii="Times New Roman;Times;Serif" w:hAnsi="Times New Roman;Times;Serif"/>
                <w:sz w:val="20"/>
              </w:rPr>
              <w:t>**</w:t>
            </w:r>
          </w:p>
        </w:tc>
        <w:tc>
          <w:tcPr>
            <w:tcW w:w="20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75" w:name="xdx_981_eus-gaap--CommonStockValue_i02I_"/>
            <w:bookmarkEnd w:id="75"/>
          </w:p>
        </w:tc>
        <w:tc>
          <w:tcPr>
            <w:tcW w:w="726" w:type="dxa"/>
            <w:tcBorders/>
            <w:shd w:fill="CCEEFF" w:val="clear"/>
            <w:vAlign w:val="center"/>
          </w:tcPr>
          <w:p>
            <w:pPr>
              <w:pStyle w:val="TableContents"/>
              <w:bidi w:val="0"/>
              <w:spacing w:before="0" w:after="283"/>
              <w:jc w:val="right"/>
              <w:rPr/>
            </w:pPr>
            <w:r>
              <w:rPr/>
              <w:t>-</w:t>
            </w:r>
          </w:p>
        </w:tc>
        <w:tc>
          <w:tcPr>
            <w:tcW w:w="223" w:type="dxa"/>
            <w:tcBorders/>
            <w:shd w:fill="CCEEFF" w:val="clear"/>
            <w:vAlign w:val="center"/>
          </w:tcPr>
          <w:p>
            <w:pPr>
              <w:pStyle w:val="TableContents"/>
              <w:bidi w:val="0"/>
              <w:spacing w:before="0" w:after="283"/>
              <w:jc w:val="left"/>
              <w:rPr/>
            </w:pPr>
            <w:r>
              <w:rPr/>
              <w:t>**</w:t>
            </w:r>
            <w:bookmarkStart w:id="76" w:name="xdx_408_eus-gaap--AdditionalPaidInCapita"/>
            <w:bookmarkEnd w:id="76"/>
          </w:p>
        </w:tc>
      </w:tr>
      <w:tr>
        <w:trPr/>
        <w:tc>
          <w:tcPr>
            <w:tcW w:w="6582" w:type="dxa"/>
            <w:tcBorders/>
            <w:shd w:fill="FFFFFF" w:val="clear"/>
            <w:vAlign w:val="center"/>
          </w:tcPr>
          <w:p>
            <w:pPr>
              <w:pStyle w:val="TableContents"/>
              <w:bidi w:val="0"/>
              <w:spacing w:before="0" w:after="283"/>
              <w:jc w:val="both"/>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2,137</w:t>
            </w:r>
          </w:p>
        </w:tc>
        <w:tc>
          <w:tcPr>
            <w:tcW w:w="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pPr>
            <w:r>
              <w:rPr/>
              <w:t>7,514</w:t>
            </w:r>
          </w:p>
        </w:tc>
        <w:tc>
          <w:tcPr>
            <w:tcW w:w="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bookmarkStart w:id="77" w:name="xdx_985_eus-gaap--AdditionalPaidInCapita"/>
            <w:bookmarkEnd w:id="77"/>
          </w:p>
        </w:tc>
        <w:tc>
          <w:tcPr>
            <w:tcW w:w="726" w:type="dxa"/>
            <w:tcBorders/>
            <w:shd w:fill="FFFFFF" w:val="clear"/>
            <w:vAlign w:val="center"/>
          </w:tcPr>
          <w:p>
            <w:pPr>
              <w:pStyle w:val="TableContents"/>
              <w:bidi w:val="0"/>
              <w:spacing w:before="0" w:after="283"/>
              <w:jc w:val="right"/>
              <w:rPr/>
            </w:pPr>
            <w:r>
              <w:rPr/>
              <w:t>5,805</w:t>
            </w:r>
          </w:p>
        </w:tc>
        <w:tc>
          <w:tcPr>
            <w:tcW w:w="223" w:type="dxa"/>
            <w:tcBorders/>
            <w:shd w:fill="FFFFFF" w:val="clear"/>
            <w:vAlign w:val="center"/>
          </w:tcPr>
          <w:p>
            <w:pPr>
              <w:pStyle w:val="TableContents"/>
              <w:bidi w:val="0"/>
              <w:spacing w:before="0" w:after="283"/>
              <w:jc w:val="left"/>
              <w:rPr/>
            </w:pPr>
            <w:r>
              <w:rPr/>
              <w:t> </w:t>
            </w:r>
            <w:bookmarkStart w:id="78" w:name="xdx_401_eus-gaap--RetainedEarningsAccumu"/>
            <w:bookmarkEnd w:id="78"/>
          </w:p>
        </w:tc>
      </w:tr>
      <w:tr>
        <w:trPr/>
        <w:tc>
          <w:tcPr>
            <w:tcW w:w="6582" w:type="dxa"/>
            <w:tcBorders/>
            <w:shd w:fill="CCEEFF" w:val="clear"/>
            <w:vAlign w:val="center"/>
          </w:tcPr>
          <w:p>
            <w:pPr>
              <w:pStyle w:val="TableContents"/>
              <w:bidi w:val="0"/>
              <w:spacing w:before="0" w:after="283"/>
              <w:jc w:val="both"/>
              <w:rPr/>
            </w:pPr>
            <w:r>
              <w:rPr/>
              <w:t>Retained earnings (Accumulated losses)</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(1,361</w:t>
            </w:r>
          </w:p>
        </w:tc>
        <w:tc>
          <w:tcPr>
            <w:tcW w:w="20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pPr>
            <w:r>
              <w:rPr/>
              <w:t>(4,746</w:t>
            </w:r>
          </w:p>
        </w:tc>
        <w:tc>
          <w:tcPr>
            <w:tcW w:w="20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79" w:name="xdx_987_eus-gaap--RetainedEarningsAccumu"/>
            <w:bookmarkEnd w:id="79"/>
          </w:p>
        </w:tc>
        <w:tc>
          <w:tcPr>
            <w:tcW w:w="726" w:type="dxa"/>
            <w:tcBorders/>
            <w:shd w:fill="CCEEFF" w:val="clear"/>
            <w:vAlign w:val="center"/>
          </w:tcPr>
          <w:p>
            <w:pPr>
              <w:pStyle w:val="TableContents"/>
              <w:bidi w:val="0"/>
              <w:spacing w:before="0" w:after="283"/>
              <w:jc w:val="right"/>
              <w:rPr/>
            </w:pPr>
            <w:r>
              <w:rPr/>
              <w:t>(3,667</w:t>
            </w:r>
          </w:p>
        </w:tc>
        <w:tc>
          <w:tcPr>
            <w:tcW w:w="223" w:type="dxa"/>
            <w:tcBorders/>
            <w:shd w:fill="CCEEFF" w:val="clear"/>
            <w:vAlign w:val="center"/>
          </w:tcPr>
          <w:p>
            <w:pPr>
              <w:pStyle w:val="TableContents"/>
              <w:bidi w:val="0"/>
              <w:spacing w:before="0" w:after="283"/>
              <w:jc w:val="left"/>
              <w:rPr/>
            </w:pPr>
            <w:r>
              <w:rPr/>
              <w:t>)</w:t>
            </w:r>
            <w:bookmarkStart w:id="80" w:name="xdx_400_ecustom--ForeignCurrencyTranslat"/>
            <w:bookmarkEnd w:id="80"/>
          </w:p>
        </w:tc>
      </w:tr>
      <w:tr>
        <w:trPr/>
        <w:tc>
          <w:tcPr>
            <w:tcW w:w="6582" w:type="dxa"/>
            <w:tcBorders/>
            <w:shd w:fill="FFFFFF" w:val="clear"/>
            <w:vAlign w:val="center"/>
          </w:tcPr>
          <w:p>
            <w:pPr>
              <w:pStyle w:val="TableContents"/>
              <w:bidi w:val="0"/>
              <w:spacing w:before="0" w:after="283"/>
              <w:jc w:val="both"/>
              <w:rPr/>
            </w:pPr>
            <w:r>
              <w:rPr/>
              <w:t>Forex reserve</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201"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9"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201"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1" w:name="xdx_984_ecustom--ForeignCurrencyTranslat"/>
            <w:bookmarkEnd w:id="81"/>
          </w:p>
        </w:tc>
        <w:tc>
          <w:tcPr>
            <w:tcW w:w="726"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223" w:type="dxa"/>
            <w:tcBorders/>
            <w:shd w:fill="FFFFFF" w:val="clear"/>
            <w:vAlign w:val="center"/>
          </w:tcPr>
          <w:p>
            <w:pPr>
              <w:pStyle w:val="TableContents"/>
              <w:bidi w:val="0"/>
              <w:spacing w:before="0" w:after="283"/>
              <w:jc w:val="left"/>
              <w:rPr/>
            </w:pPr>
            <w:r>
              <w:rPr/>
              <w:t>)</w:t>
            </w:r>
            <w:bookmarkStart w:id="82" w:name="xdx_404_eus-gaap--StockholdersEquity_i02"/>
            <w:bookmarkEnd w:id="82"/>
          </w:p>
        </w:tc>
      </w:tr>
      <w:tr>
        <w:trPr/>
        <w:tc>
          <w:tcPr>
            <w:tcW w:w="6582" w:type="dxa"/>
            <w:tcBorders/>
            <w:shd w:fill="CCEEFF" w:val="clear"/>
            <w:vAlign w:val="center"/>
          </w:tcPr>
          <w:p>
            <w:pPr>
              <w:pStyle w:val="TableContents"/>
              <w:bidi w:val="0"/>
              <w:spacing w:before="0" w:after="283"/>
              <w:jc w:val="both"/>
              <w:rPr/>
            </w:pPr>
            <w:r>
              <w:rPr/>
              <w:t>Total Shareholders’ Equity</w:t>
            </w:r>
          </w:p>
        </w:tc>
        <w:tc>
          <w:tcPr>
            <w:tcW w:w="60" w:type="dxa"/>
            <w:tcBorders/>
            <w:shd w:fill="CCEEFF" w:val="clear"/>
            <w:vAlign w:val="center"/>
          </w:tcPr>
          <w:p>
            <w:pPr>
              <w:pStyle w:val="TableContents"/>
              <w:bidi w:val="0"/>
              <w:spacing w:before="0" w:after="283"/>
              <w:jc w:val="left"/>
              <w:rPr/>
            </w:pPr>
            <w:r>
              <w:rPr/>
              <w:t> </w:t>
            </w:r>
          </w:p>
        </w:tc>
        <w:tc>
          <w:tcPr>
            <w:tcW w:w="1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769</w:t>
            </w:r>
          </w:p>
        </w:tc>
        <w:tc>
          <w:tcPr>
            <w:tcW w:w="2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9" w:type="dxa"/>
            <w:tcBorders>
              <w:bottom w:val="single" w:sz="8" w:space="0" w:color="000000"/>
            </w:tcBorders>
            <w:shd w:fill="CCEEFF" w:val="clear"/>
            <w:tcMar>
              <w:bottom w:w="28" w:type="dxa"/>
            </w:tcMar>
            <w:vAlign w:val="center"/>
          </w:tcPr>
          <w:p>
            <w:pPr>
              <w:pStyle w:val="TableContents"/>
              <w:bidi w:val="0"/>
              <w:spacing w:before="0" w:after="283"/>
              <w:jc w:val="right"/>
              <w:rPr/>
            </w:pPr>
            <w:r>
              <w:rPr/>
              <w:t>2,766</w:t>
            </w:r>
          </w:p>
        </w:tc>
        <w:tc>
          <w:tcPr>
            <w:tcW w:w="2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3" w:name="xdx_986_eus-gaap--StockholdersEquity_i02"/>
            <w:bookmarkEnd w:id="83"/>
          </w:p>
        </w:tc>
        <w:tc>
          <w:tcPr>
            <w:tcW w:w="726" w:type="dxa"/>
            <w:tcBorders>
              <w:bottom w:val="single" w:sz="8" w:space="0" w:color="000000"/>
            </w:tcBorders>
            <w:shd w:fill="CCEEFF" w:val="clear"/>
            <w:tcMar>
              <w:bottom w:w="28" w:type="dxa"/>
            </w:tcMar>
            <w:vAlign w:val="center"/>
          </w:tcPr>
          <w:p>
            <w:pPr>
              <w:pStyle w:val="TableContents"/>
              <w:bidi w:val="0"/>
              <w:spacing w:before="0" w:after="283"/>
              <w:jc w:val="right"/>
              <w:rPr/>
            </w:pPr>
            <w:r>
              <w:rPr/>
              <w:t>2,136</w:t>
            </w:r>
          </w:p>
        </w:tc>
        <w:tc>
          <w:tcPr>
            <w:tcW w:w="223" w:type="dxa"/>
            <w:tcBorders/>
            <w:shd w:fill="CCEE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 </w:t>
            </w:r>
          </w:p>
        </w:tc>
        <w:tc>
          <w:tcPr>
            <w:tcW w:w="223" w:type="dxa"/>
            <w:tcBorders/>
            <w:shd w:fill="FFFFFF" w:val="clear"/>
            <w:vAlign w:val="center"/>
          </w:tcPr>
          <w:p>
            <w:pPr>
              <w:pStyle w:val="TableContents"/>
              <w:bidi w:val="0"/>
              <w:spacing w:before="0" w:after="283"/>
              <w:jc w:val="left"/>
              <w:rPr/>
            </w:pPr>
            <w:r>
              <w:rPr/>
              <w:t> </w:t>
            </w:r>
            <w:bookmarkStart w:id="84" w:name="xdx_401_eus-gaap--LiabilitiesAndStockhol"/>
            <w:bookmarkEnd w:id="84"/>
          </w:p>
        </w:tc>
      </w:tr>
      <w:tr>
        <w:trPr/>
        <w:tc>
          <w:tcPr>
            <w:tcW w:w="6582" w:type="dxa"/>
            <w:tcBorders/>
            <w:shd w:fill="CCEEFF" w:val="clear"/>
            <w:vAlign w:val="center"/>
          </w:tcPr>
          <w:p>
            <w:pPr>
              <w:pStyle w:val="TableContents"/>
              <w:bidi w:val="0"/>
              <w:spacing w:before="0" w:after="283"/>
              <w:jc w:val="left"/>
              <w:rPr>
                <w:b/>
              </w:rPr>
            </w:pPr>
            <w:r>
              <w:rPr>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pPr>
            <w:r>
              <w:rPr/>
              <w:t>2,667</w:t>
            </w:r>
          </w:p>
        </w:tc>
        <w:tc>
          <w:tcPr>
            <w:tcW w:w="2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19" w:type="dxa"/>
            <w:tcBorders>
              <w:bottom w:val="double" w:sz="6" w:space="0" w:color="000000"/>
            </w:tcBorders>
            <w:shd w:fill="CCEEFF" w:val="clear"/>
            <w:tcMar>
              <w:bottom w:w="28" w:type="dxa"/>
            </w:tcMar>
            <w:vAlign w:val="center"/>
          </w:tcPr>
          <w:p>
            <w:pPr>
              <w:pStyle w:val="TableContents"/>
              <w:bidi w:val="0"/>
              <w:spacing w:before="0" w:after="283"/>
              <w:jc w:val="right"/>
              <w:rPr/>
            </w:pPr>
            <w:r>
              <w:rPr/>
              <w:t>3,990</w:t>
            </w:r>
          </w:p>
        </w:tc>
        <w:tc>
          <w:tcPr>
            <w:tcW w:w="2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5" w:name="xdx_980_eus-gaap--LiabilitiesAndStockhol"/>
            <w:bookmarkEnd w:id="85"/>
          </w:p>
        </w:tc>
        <w:tc>
          <w:tcPr>
            <w:tcW w:w="726" w:type="dxa"/>
            <w:tcBorders>
              <w:bottom w:val="double" w:sz="6" w:space="0" w:color="000000"/>
            </w:tcBorders>
            <w:shd w:fill="CCEEFF" w:val="clear"/>
            <w:tcMar>
              <w:bottom w:w="28" w:type="dxa"/>
            </w:tcMar>
            <w:vAlign w:val="center"/>
          </w:tcPr>
          <w:p>
            <w:pPr>
              <w:pStyle w:val="TableContents"/>
              <w:bidi w:val="0"/>
              <w:spacing w:before="0" w:after="283"/>
              <w:jc w:val="right"/>
              <w:rPr/>
            </w:pPr>
            <w:r>
              <w:rPr/>
              <w:t>3,082</w:t>
            </w:r>
          </w:p>
        </w:tc>
        <w:tc>
          <w:tcPr>
            <w:tcW w:w="22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86" w:name="xdx_F0D_zUbLDAZ9nCc6"/>
            <w:bookmarkEnd w:id="86"/>
            <w:r>
              <w:rPr>
                <w:rFonts w:ascii="Times New Roman;Times;Serif" w:hAnsi="Times New Roman;Times;Serif"/>
                <w:b w:val="false"/>
                <w:i w:val="false"/>
                <w:caps w:val="false"/>
                <w:smallCaps w:val="false"/>
                <w:sz w:val="20"/>
              </w:rPr>
              <w:t>*</w:t>
            </w:r>
          </w:p>
        </w:tc>
        <w:tc>
          <w:tcPr>
            <w:tcW w:w="100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87" w:name="xdx_F16_zgInWgQdIMzg"/>
            <w:bookmarkEnd w:id="87"/>
            <w:r>
              <w:rPr>
                <w:rFonts w:ascii="Times New Roman;Times;Serif" w:hAnsi="Times New Roman;Times;Serif"/>
                <w:b w:val="false"/>
                <w:i w:val="false"/>
                <w:caps w:val="false"/>
                <w:smallCaps w:val="false"/>
                <w:sz w:val="20"/>
              </w:rPr>
              <w:t xml:space="preserve">Retrospectively presented for the effect of (i) the issuance of </w:t>
            </w:r>
            <w:bookmarkStart w:id="88" w:name="xdx_90D_eus-gaap--StockIssuedDuringPerio"/>
            <w:bookmarkEnd w:id="88"/>
            <w:r>
              <w:rPr>
                <w:rFonts w:ascii="Times New Roman;Times;Serif" w:hAnsi="Times New Roman;Times;Serif"/>
                <w:b w:val="false"/>
                <w:i w:val="false"/>
                <w:caps w:val="false"/>
                <w:smallCaps w:val="false"/>
                <w:sz w:val="20"/>
              </w:rPr>
              <w:t xml:space="preserve">1 ordinary share on February 15, 2024 in preparation of the Company’s initial public offering, (ii) the </w:t>
            </w:r>
            <w:bookmarkStart w:id="89" w:name="xdx_90E_eus-gaap--StockholdersEquityNote"/>
            <w:bookmarkEnd w:id="89"/>
            <w:r>
              <w:rPr>
                <w:rFonts w:ascii="Times New Roman;Times;Serif" w:hAnsi="Times New Roman;Times;Serif"/>
                <w:b w:val="false"/>
                <w:i w:val="false"/>
                <w:caps w:val="false"/>
                <w:smallCaps w:val="false"/>
                <w:sz w:val="20"/>
              </w:rPr>
              <w:t xml:space="preserve">1:200 share subdivision and </w:t>
            </w:r>
            <w:bookmarkStart w:id="90" w:name="xdx_90A_eus-gaap--SharesIssued_iI_pid_c2"/>
            <w:bookmarkEnd w:id="90"/>
            <w:r>
              <w:rPr>
                <w:rFonts w:ascii="Times New Roman;Times;Serif" w:hAnsi="Times New Roman;Times;Serif"/>
                <w:b w:val="false"/>
                <w:i w:val="false"/>
                <w:caps w:val="false"/>
                <w:smallCaps w:val="false"/>
                <w:sz w:val="20"/>
              </w:rPr>
              <w:t>5,000,000 share surrender approved on October 2, 2024, (iii) the 15 for 1 reverse share split effected on February 12, 2026, and (iv) the 30 for 1 reverse share split effected on May 4, 2026.</w:t>
            </w:r>
          </w:p>
        </w:tc>
      </w:tr>
      <w:tr>
        <w:trPr/>
        <w:tc>
          <w:tcPr>
            <w:tcW w:w="171" w:type="dxa"/>
            <w:tcBorders/>
            <w:vAlign w:val="center"/>
          </w:tcPr>
          <w:p>
            <w:pPr>
              <w:pStyle w:val="TableContents"/>
              <w:bidi w:val="0"/>
              <w:spacing w:before="0" w:after="283"/>
              <w:jc w:val="both"/>
              <w:rPr>
                <w:caps w:val="false"/>
                <w:smallCaps w:val="false"/>
              </w:rPr>
            </w:pPr>
            <w:r>
              <w:rPr>
                <w:caps w:val="false"/>
                <w:smallCaps w:val="false"/>
              </w:rPr>
              <w:t> </w:t>
            </w:r>
          </w:p>
        </w:tc>
        <w:tc>
          <w:tcPr>
            <w:tcW w:w="1003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91" w:name="xdx_F07_zvvMmZM217d5"/>
            <w:bookmarkEnd w:id="91"/>
            <w:r>
              <w:rPr>
                <w:rFonts w:ascii="Times New Roman;Times;Serif" w:hAnsi="Times New Roman;Times;Serif"/>
                <w:b w:val="false"/>
                <w:i w:val="false"/>
                <w:caps w:val="false"/>
                <w:smallCaps w:val="false"/>
                <w:sz w:val="20"/>
              </w:rPr>
              <w:t>**</w:t>
            </w:r>
          </w:p>
        </w:tc>
        <w:tc>
          <w:tcPr>
            <w:tcW w:w="100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92" w:name="xdx_F13_z8mUKPswTWvk"/>
            <w:bookmarkEnd w:id="92"/>
            <w:r>
              <w:rPr>
                <w:rFonts w:ascii="Times New Roman;Times;Serif" w:hAnsi="Times New Roman;Times;Serif"/>
                <w:b w:val="false"/>
                <w:i w:val="false"/>
                <w:caps w:val="false"/>
                <w:smallCaps w:val="false"/>
                <w:sz w:val="20"/>
              </w:rPr>
              <w:t>Below S$1,000/US$1,000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interim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FITNESS CHAMPS HOLDINGS LTD AND SUBSIDIARIES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INTERIM CONSOLIDATED STATEMENTS OF OPERATIONS AND COMPREHENSIVE INCOME (LOSS)</w:t>
      </w:r>
    </w:p>
    <w:p>
      <w:pPr>
        <w:pStyle w:val="TextBody"/>
        <w:bidi w:val="0"/>
        <w:ind w:left="0" w:right="0" w:hanging="0"/>
        <w:jc w:val="left"/>
        <w:rPr/>
      </w:pPr>
      <w:r>
        <w:rPr/>
        <w:t> </w:t>
      </w:r>
    </w:p>
    <w:p>
      <w:pPr>
        <w:pStyle w:val="Normal"/>
        <w:bidi w:val="0"/>
        <w:spacing w:before="0" w:after="0"/>
        <w:jc w:val="left"/>
        <w:rPr>
          <w:sz w:val="4"/>
          <w:szCs w:val="4"/>
        </w:rPr>
      </w:pPr>
      <w:r>
        <w:rPr>
          <w:sz w:val="4"/>
          <w:szCs w:val="4"/>
        </w:rPr>
      </w:r>
      <w:bookmarkStart w:id="93" w:name="xdx_30D_113_pn3n3_zmFaATEQUXa"/>
      <w:bookmarkStart w:id="94" w:name="xdx_30D_113_pn3n3_zmFaATEQUXa"/>
      <w:bookmarkEnd w:id="94"/>
    </w:p>
    <w:tbl>
      <w:tblPr>
        <w:tblW w:w="7403" w:type="dxa"/>
        <w:jc w:val="left"/>
        <w:tblInd w:w="0" w:type="dxa"/>
        <w:tblLayout w:type="fixed"/>
        <w:tblCellMar>
          <w:top w:w="0" w:type="dxa"/>
          <w:left w:w="0" w:type="dxa"/>
          <w:bottom w:w="0" w:type="dxa"/>
          <w:right w:w="0" w:type="dxa"/>
        </w:tblCellMar>
      </w:tblPr>
      <w:tblGrid>
        <w:gridCol w:w="4280"/>
        <w:gridCol w:w="60"/>
        <w:gridCol w:w="61"/>
        <w:gridCol w:w="648"/>
        <w:gridCol w:w="264"/>
        <w:gridCol w:w="61"/>
        <w:gridCol w:w="61"/>
        <w:gridCol w:w="814"/>
        <w:gridCol w:w="95"/>
        <w:gridCol w:w="60"/>
        <w:gridCol w:w="62"/>
        <w:gridCol w:w="827"/>
        <w:gridCol w:w="110"/>
      </w:tblGrid>
      <w:tr>
        <w:trPr/>
        <w:tc>
          <w:tcPr>
            <w:tcW w:w="42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95" w:name="xdx_495_20250101__20250630_zBGvwUQknGil"/>
            <w:bookmarkEnd w:id="95"/>
          </w:p>
        </w:tc>
        <w:tc>
          <w:tcPr>
            <w:tcW w:w="7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264"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bookmarkStart w:id="96" w:name="xdx_49D_20260101__20260630_zHuzuorw8ws7"/>
            <w:bookmarkEnd w:id="96"/>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10" w:type="dxa"/>
            <w:tcBorders/>
            <w:vAlign w:val="center"/>
          </w:tcPr>
          <w:p>
            <w:pPr>
              <w:pStyle w:val="TableContents"/>
              <w:bidi w:val="0"/>
              <w:spacing w:before="0" w:after="283"/>
              <w:jc w:val="center"/>
              <w:rPr/>
            </w:pPr>
            <w:r>
              <w:rPr/>
              <w:t> </w:t>
            </w:r>
          </w:p>
        </w:tc>
      </w:tr>
      <w:tr>
        <w:trPr/>
        <w:tc>
          <w:tcPr>
            <w:tcW w:w="42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09" w:type="dxa"/>
            <w:gridSpan w:val="6"/>
            <w:tcBorders>
              <w:bottom w:val="single" w:sz="8" w:space="0" w:color="000000"/>
            </w:tcBorders>
            <w:tcMar>
              <w:bottom w:w="28" w:type="dxa"/>
            </w:tcMar>
            <w:vAlign w:val="center"/>
          </w:tcPr>
          <w:p>
            <w:pPr>
              <w:pStyle w:val="TableContents"/>
              <w:bidi w:val="0"/>
              <w:jc w:val="center"/>
              <w:rPr>
                <w:b/>
              </w:rPr>
            </w:pPr>
            <w:r>
              <w:rPr>
                <w:b/>
              </w:rPr>
              <w:t>Six Months Ended</w:t>
            </w:r>
          </w:p>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9"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42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64"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center"/>
              <w:rPr/>
            </w:pPr>
            <w:r>
              <w:rPr/>
              <w:t> </w:t>
            </w:r>
          </w:p>
        </w:tc>
      </w:tr>
      <w:tr>
        <w:trPr/>
        <w:tc>
          <w:tcPr>
            <w:tcW w:w="42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09" w:type="dxa"/>
            <w:gridSpan w:val="2"/>
            <w:tcBorders/>
            <w:vAlign w:val="center"/>
          </w:tcPr>
          <w:p>
            <w:pPr>
              <w:pStyle w:val="TableContents"/>
              <w:bidi w:val="0"/>
              <w:spacing w:before="0" w:after="283"/>
              <w:jc w:val="center"/>
              <w:rPr>
                <w:b/>
              </w:rPr>
            </w:pPr>
            <w:r>
              <w:rPr>
                <w:b/>
              </w:rPr>
              <w:t>S$’000</w:t>
            </w:r>
          </w:p>
        </w:tc>
        <w:tc>
          <w:tcPr>
            <w:tcW w:w="264"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p>
        </w:tc>
        <w:tc>
          <w:tcPr>
            <w:tcW w:w="875" w:type="dxa"/>
            <w:gridSpan w:val="2"/>
            <w:tcBorders/>
            <w:vAlign w:val="center"/>
          </w:tcPr>
          <w:p>
            <w:pPr>
              <w:pStyle w:val="TableContents"/>
              <w:bidi w:val="0"/>
              <w:spacing w:before="0" w:after="283"/>
              <w:jc w:val="center"/>
              <w:rPr>
                <w:b/>
              </w:rPr>
            </w:pPr>
            <w:r>
              <w:rPr>
                <w:b/>
              </w:rPr>
              <w:t>S$’000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9" w:type="dxa"/>
            <w:gridSpan w:val="2"/>
            <w:tcBorders/>
            <w:vAlign w:val="center"/>
          </w:tcPr>
          <w:p>
            <w:pPr>
              <w:pStyle w:val="TableContents"/>
              <w:bidi w:val="0"/>
              <w:spacing w:before="0" w:after="283"/>
              <w:jc w:val="center"/>
              <w:rPr>
                <w:b/>
              </w:rPr>
            </w:pPr>
            <w:r>
              <w:rPr>
                <w:b/>
              </w:rPr>
              <w:t>US$’000</w:t>
            </w:r>
          </w:p>
        </w:tc>
        <w:tc>
          <w:tcPr>
            <w:tcW w:w="110" w:type="dxa"/>
            <w:tcBorders/>
            <w:vAlign w:val="center"/>
          </w:tcPr>
          <w:p>
            <w:pPr>
              <w:pStyle w:val="TableContents"/>
              <w:bidi w:val="0"/>
              <w:spacing w:before="0" w:after="283"/>
              <w:jc w:val="center"/>
              <w:rPr/>
            </w:pPr>
            <w:r>
              <w:rPr/>
              <w:t> </w:t>
            </w:r>
            <w:bookmarkStart w:id="97" w:name="xdx_406_eus-gaap--RevenueFromContractWit"/>
            <w:bookmarkEnd w:id="97"/>
          </w:p>
        </w:tc>
      </w:tr>
      <w:tr>
        <w:trPr/>
        <w:tc>
          <w:tcPr>
            <w:tcW w:w="4280" w:type="dxa"/>
            <w:tcBorders/>
            <w:shd w:fill="CCEEFF" w:val="clear"/>
            <w:vAlign w:val="center"/>
          </w:tcPr>
          <w:p>
            <w:pPr>
              <w:pStyle w:val="TableContents"/>
              <w:bidi w:val="0"/>
              <w:spacing w:before="0" w:after="283"/>
              <w:jc w:val="both"/>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pPr>
            <w:r>
              <w:rPr/>
              <w:t>2,162</w:t>
            </w:r>
          </w:p>
        </w:tc>
        <w:tc>
          <w:tcPr>
            <w:tcW w:w="264"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2,045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98" w:name="xdx_98C_eus-gaap--RevenueFromContractWit"/>
            <w:bookmarkEnd w:id="98"/>
          </w:p>
        </w:tc>
        <w:tc>
          <w:tcPr>
            <w:tcW w:w="827" w:type="dxa"/>
            <w:tcBorders/>
            <w:shd w:fill="CCEEFF" w:val="clear"/>
            <w:vAlign w:val="center"/>
          </w:tcPr>
          <w:p>
            <w:pPr>
              <w:pStyle w:val="TableContents"/>
              <w:bidi w:val="0"/>
              <w:spacing w:before="0" w:after="283"/>
              <w:jc w:val="right"/>
              <w:rPr/>
            </w:pPr>
            <w:r>
              <w:rPr/>
              <w:t>1,580</w:t>
            </w:r>
          </w:p>
        </w:tc>
        <w:tc>
          <w:tcPr>
            <w:tcW w:w="110" w:type="dxa"/>
            <w:tcBorders/>
            <w:shd w:fill="CCEEFF" w:val="clear"/>
            <w:vAlign w:val="center"/>
          </w:tcPr>
          <w:p>
            <w:pPr>
              <w:pStyle w:val="TableContents"/>
              <w:bidi w:val="0"/>
              <w:spacing w:before="0" w:after="283"/>
              <w:jc w:val="left"/>
              <w:rPr/>
            </w:pPr>
            <w:r>
              <w:rPr/>
              <w:t> </w:t>
            </w:r>
            <w:bookmarkStart w:id="99" w:name="xdx_402_eus-gaap--CostOfRevenue_iN_di_ms"/>
            <w:bookmarkEnd w:id="99"/>
          </w:p>
        </w:tc>
      </w:tr>
      <w:tr>
        <w:trPr/>
        <w:tc>
          <w:tcPr>
            <w:tcW w:w="4280" w:type="dxa"/>
            <w:tcBorders/>
            <w:shd w:fill="FFFFFF" w:val="clear"/>
            <w:vAlign w:val="center"/>
          </w:tcPr>
          <w:p>
            <w:pPr>
              <w:pStyle w:val="TableContents"/>
              <w:bidi w:val="0"/>
              <w:spacing w:before="0" w:after="283"/>
              <w:jc w:val="both"/>
              <w:rPr>
                <w:b/>
              </w:rPr>
            </w:pPr>
            <w:r>
              <w:rPr>
                <w:b/>
              </w:rPr>
              <w:t>Cost of revenues</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8" w:type="dxa"/>
            <w:tcBorders>
              <w:bottom w:val="single" w:sz="8" w:space="0" w:color="000000"/>
            </w:tcBorders>
            <w:shd w:fill="FFFFFF" w:val="clear"/>
            <w:tcMar>
              <w:bottom w:w="28" w:type="dxa"/>
            </w:tcMar>
            <w:vAlign w:val="center"/>
          </w:tcPr>
          <w:p>
            <w:pPr>
              <w:pStyle w:val="TableContents"/>
              <w:bidi w:val="0"/>
              <w:spacing w:before="0" w:after="283"/>
              <w:jc w:val="right"/>
              <w:rPr/>
            </w:pPr>
            <w:r>
              <w:rPr/>
              <w:t>(1,538</w:t>
            </w:r>
          </w:p>
        </w:tc>
        <w:tc>
          <w:tcPr>
            <w:tcW w:w="264"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pPr>
            <w:r>
              <w:rPr/>
              <w:t>(1,599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0" w:name="xdx_989_eus-gaap--CostOfRevenue_iN_pn3n3"/>
            <w:bookmarkEnd w:id="100"/>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pPr>
            <w:r>
              <w:rPr/>
              <w:t>(1,236</w:t>
            </w:r>
          </w:p>
        </w:tc>
        <w:tc>
          <w:tcPr>
            <w:tcW w:w="110" w:type="dxa"/>
            <w:tcBorders/>
            <w:shd w:fill="FFFFFF" w:val="clear"/>
            <w:vAlign w:val="center"/>
          </w:tcPr>
          <w:p>
            <w:pPr>
              <w:pStyle w:val="TableContents"/>
              <w:bidi w:val="0"/>
              <w:spacing w:before="0" w:after="283"/>
              <w:jc w:val="left"/>
              <w:rPr/>
            </w:pPr>
            <w:r>
              <w:rPr/>
              <w:t>)</w:t>
            </w:r>
            <w:bookmarkStart w:id="101" w:name="xdx_404_eus-gaap--GrossProfit_iT_mtGPzJb"/>
            <w:bookmarkEnd w:id="101"/>
          </w:p>
        </w:tc>
      </w:tr>
      <w:tr>
        <w:trPr/>
        <w:tc>
          <w:tcPr>
            <w:tcW w:w="4280" w:type="dxa"/>
            <w:tcBorders/>
            <w:shd w:fill="CCEEFF" w:val="clear"/>
            <w:vAlign w:val="center"/>
          </w:tcPr>
          <w:p>
            <w:pPr>
              <w:pStyle w:val="TableContents"/>
              <w:bidi w:val="0"/>
              <w:spacing w:before="0" w:after="283"/>
              <w:jc w:val="both"/>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8" w:type="dxa"/>
            <w:tcBorders>
              <w:bottom w:val="single" w:sz="8" w:space="0" w:color="000000"/>
            </w:tcBorders>
            <w:shd w:fill="CCEEFF" w:val="clear"/>
            <w:tcMar>
              <w:bottom w:w="28" w:type="dxa"/>
            </w:tcMar>
            <w:vAlign w:val="center"/>
          </w:tcPr>
          <w:p>
            <w:pPr>
              <w:pStyle w:val="TableContents"/>
              <w:bidi w:val="0"/>
              <w:spacing w:before="0" w:after="283"/>
              <w:jc w:val="right"/>
              <w:rPr/>
            </w:pPr>
            <w:r>
              <w:rPr/>
              <w:t>624</w:t>
            </w:r>
          </w:p>
        </w:tc>
        <w:tc>
          <w:tcPr>
            <w:tcW w:w="264"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CCEEFF" w:val="clear"/>
            <w:tcMar>
              <w:bottom w:w="28" w:type="dxa"/>
            </w:tcMar>
            <w:vAlign w:val="center"/>
          </w:tcPr>
          <w:p>
            <w:pPr>
              <w:pStyle w:val="TableContents"/>
              <w:bidi w:val="0"/>
              <w:spacing w:before="0" w:after="283"/>
              <w:jc w:val="right"/>
              <w:rPr/>
            </w:pPr>
            <w:r>
              <w:rPr/>
              <w:t>446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2" w:name="xdx_98C_eus-gaap--GrossProfit_iT_pn3n3_u"/>
            <w:bookmarkEnd w:id="102"/>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pPr>
            <w:r>
              <w:rPr/>
              <w:t>344</w:t>
            </w:r>
          </w:p>
        </w:tc>
        <w:tc>
          <w:tcPr>
            <w:tcW w:w="110" w:type="dxa"/>
            <w:tcBorders/>
            <w:shd w:fill="CCEEFF" w:val="clear"/>
            <w:vAlign w:val="center"/>
          </w:tcPr>
          <w:p>
            <w:pPr>
              <w:pStyle w:val="TableContents"/>
              <w:bidi w:val="0"/>
              <w:spacing w:before="0" w:after="283"/>
              <w:jc w:val="left"/>
              <w:rPr/>
            </w:pPr>
            <w:r>
              <w:rPr/>
              <w:t> </w:t>
            </w:r>
            <w:bookmarkStart w:id="103" w:name="xdx_404_eus-gaap--OperatingExpensesAbstr"/>
            <w:bookmarkEnd w:id="103"/>
          </w:p>
        </w:tc>
      </w:tr>
      <w:tr>
        <w:trPr/>
        <w:tc>
          <w:tcPr>
            <w:tcW w:w="4280" w:type="dxa"/>
            <w:tcBorders/>
            <w:shd w:fill="FFFFFF" w:val="clear"/>
            <w:vAlign w:val="center"/>
          </w:tcPr>
          <w:p>
            <w:pPr>
              <w:pStyle w:val="TableContents"/>
              <w:bidi w:val="0"/>
              <w:spacing w:before="0" w:after="283"/>
              <w:jc w:val="both"/>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pPr>
            <w:r>
              <w:rPr/>
              <w:t> </w:t>
            </w:r>
          </w:p>
        </w:tc>
        <w:tc>
          <w:tcPr>
            <w:tcW w:w="26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4" w:name="xdx_40E_eus-gaap--SellingAndMarketingExp"/>
            <w:bookmarkEnd w:id="104"/>
          </w:p>
        </w:tc>
      </w:tr>
      <w:tr>
        <w:trPr/>
        <w:tc>
          <w:tcPr>
            <w:tcW w:w="4280" w:type="dxa"/>
            <w:tcBorders/>
            <w:shd w:fill="CCEEFF" w:val="clear"/>
            <w:vAlign w:val="center"/>
          </w:tcPr>
          <w:p>
            <w:pPr>
              <w:pStyle w:val="TableContents"/>
              <w:bidi w:val="0"/>
              <w:spacing w:before="0" w:after="283"/>
              <w:jc w:val="both"/>
              <w:rPr/>
            </w:pPr>
            <w:r>
              <w:rPr/>
              <w:t>Selling and distribution expenses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pPr>
            <w:r>
              <w:rPr/>
              <w:t>(205</w:t>
            </w:r>
          </w:p>
        </w:tc>
        <w:tc>
          <w:tcPr>
            <w:tcW w:w="264"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(296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105" w:name="xdx_98E_eus-gaap--SellingAndMarketingExp"/>
            <w:bookmarkEnd w:id="105"/>
          </w:p>
        </w:tc>
        <w:tc>
          <w:tcPr>
            <w:tcW w:w="827" w:type="dxa"/>
            <w:tcBorders/>
            <w:shd w:fill="CCEEFF" w:val="clear"/>
            <w:vAlign w:val="center"/>
          </w:tcPr>
          <w:p>
            <w:pPr>
              <w:pStyle w:val="TableContents"/>
              <w:bidi w:val="0"/>
              <w:spacing w:before="0" w:after="283"/>
              <w:jc w:val="right"/>
              <w:rPr/>
            </w:pPr>
            <w:r>
              <w:rPr/>
              <w:t>(229</w:t>
            </w:r>
          </w:p>
        </w:tc>
        <w:tc>
          <w:tcPr>
            <w:tcW w:w="110" w:type="dxa"/>
            <w:tcBorders/>
            <w:shd w:fill="CCEEFF" w:val="clear"/>
            <w:vAlign w:val="center"/>
          </w:tcPr>
          <w:p>
            <w:pPr>
              <w:pStyle w:val="TableContents"/>
              <w:bidi w:val="0"/>
              <w:spacing w:before="0" w:after="283"/>
              <w:jc w:val="left"/>
              <w:rPr/>
            </w:pPr>
            <w:r>
              <w:rPr/>
              <w:t>)</w:t>
            </w:r>
            <w:bookmarkStart w:id="106" w:name="xdx_409_eus-gaap--GeneralAndAdministrati"/>
            <w:bookmarkEnd w:id="106"/>
          </w:p>
        </w:tc>
      </w:tr>
      <w:tr>
        <w:trPr/>
        <w:tc>
          <w:tcPr>
            <w:tcW w:w="4280" w:type="dxa"/>
            <w:tcBorders/>
            <w:shd w:fill="FFFFFF" w:val="clear"/>
            <w:vAlign w:val="center"/>
          </w:tcPr>
          <w:p>
            <w:pPr>
              <w:pStyle w:val="TableContents"/>
              <w:bidi w:val="0"/>
              <w:spacing w:before="0" w:after="283"/>
              <w:jc w:val="both"/>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8" w:type="dxa"/>
            <w:tcBorders>
              <w:bottom w:val="single" w:sz="8" w:space="0" w:color="000000"/>
            </w:tcBorders>
            <w:shd w:fill="FFFFFF" w:val="clear"/>
            <w:tcMar>
              <w:bottom w:w="28" w:type="dxa"/>
            </w:tcMar>
            <w:vAlign w:val="center"/>
          </w:tcPr>
          <w:p>
            <w:pPr>
              <w:pStyle w:val="TableContents"/>
              <w:bidi w:val="0"/>
              <w:spacing w:before="0" w:after="283"/>
              <w:jc w:val="right"/>
              <w:rPr/>
            </w:pPr>
            <w:r>
              <w:rPr/>
              <w:t>(763</w:t>
            </w:r>
          </w:p>
        </w:tc>
        <w:tc>
          <w:tcPr>
            <w:tcW w:w="264"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pPr>
            <w:r>
              <w:rPr/>
              <w:t>(3,586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7" w:name="xdx_988_eus-gaap--GeneralAndAdministrati"/>
            <w:bookmarkEnd w:id="107"/>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pPr>
            <w:r>
              <w:rPr/>
              <w:t>(2,770</w:t>
            </w:r>
          </w:p>
        </w:tc>
        <w:tc>
          <w:tcPr>
            <w:tcW w:w="110" w:type="dxa"/>
            <w:tcBorders/>
            <w:shd w:fill="FFFFFF" w:val="clear"/>
            <w:vAlign w:val="center"/>
          </w:tcPr>
          <w:p>
            <w:pPr>
              <w:pStyle w:val="TableContents"/>
              <w:bidi w:val="0"/>
              <w:spacing w:before="0" w:after="283"/>
              <w:jc w:val="left"/>
              <w:rPr/>
            </w:pPr>
            <w:r>
              <w:rPr/>
              <w:t>)</w:t>
            </w:r>
            <w:bookmarkStart w:id="108" w:name="xdx_408_eus-gaap--OperatingExpenses_i01N"/>
            <w:bookmarkEnd w:id="108"/>
          </w:p>
        </w:tc>
      </w:tr>
      <w:tr>
        <w:trPr/>
        <w:tc>
          <w:tcPr>
            <w:tcW w:w="4280" w:type="dxa"/>
            <w:tcBorders/>
            <w:shd w:fill="CCEEFF" w:val="clear"/>
            <w:vAlign w:val="center"/>
          </w:tcPr>
          <w:p>
            <w:pPr>
              <w:pStyle w:val="TableContents"/>
              <w:bidi w:val="0"/>
              <w:spacing w:before="0" w:after="283"/>
              <w:jc w:val="both"/>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8" w:type="dxa"/>
            <w:tcBorders>
              <w:bottom w:val="single" w:sz="8" w:space="0" w:color="000000"/>
            </w:tcBorders>
            <w:shd w:fill="CCEEFF" w:val="clear"/>
            <w:tcMar>
              <w:bottom w:w="28" w:type="dxa"/>
            </w:tcMar>
            <w:vAlign w:val="center"/>
          </w:tcPr>
          <w:p>
            <w:pPr>
              <w:pStyle w:val="TableContents"/>
              <w:bidi w:val="0"/>
              <w:spacing w:before="0" w:after="283"/>
              <w:jc w:val="right"/>
              <w:rPr/>
            </w:pPr>
            <w:r>
              <w:rPr/>
              <w:t>(968</w:t>
            </w:r>
          </w:p>
        </w:tc>
        <w:tc>
          <w:tcPr>
            <w:tcW w:w="264"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CCEEFF" w:val="clear"/>
            <w:tcMar>
              <w:bottom w:w="28" w:type="dxa"/>
            </w:tcMar>
            <w:vAlign w:val="center"/>
          </w:tcPr>
          <w:p>
            <w:pPr>
              <w:pStyle w:val="TableContents"/>
              <w:bidi w:val="0"/>
              <w:spacing w:before="0" w:after="283"/>
              <w:jc w:val="right"/>
              <w:rPr/>
            </w:pPr>
            <w:r>
              <w:rPr/>
              <w:t>(3,882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9" w:name="xdx_985_eus-gaap--OperatingExpenses_i01N"/>
            <w:bookmarkEnd w:id="109"/>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pPr>
            <w:r>
              <w:rPr/>
              <w:t>(2,999</w:t>
            </w:r>
          </w:p>
        </w:tc>
        <w:tc>
          <w:tcPr>
            <w:tcW w:w="110" w:type="dxa"/>
            <w:tcBorders/>
            <w:shd w:fill="CCEEFF" w:val="clear"/>
            <w:vAlign w:val="center"/>
          </w:tcPr>
          <w:p>
            <w:pPr>
              <w:pStyle w:val="TableContents"/>
              <w:bidi w:val="0"/>
              <w:spacing w:before="0" w:after="283"/>
              <w:jc w:val="left"/>
              <w:rPr/>
            </w:pPr>
            <w:r>
              <w:rPr/>
              <w:t>)</w:t>
            </w:r>
          </w:p>
        </w:tc>
      </w:tr>
      <w:tr>
        <w:trPr/>
        <w:tc>
          <w:tcPr>
            <w:tcW w:w="4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pPr>
            <w:r>
              <w:rPr/>
              <w:t> </w:t>
            </w:r>
          </w:p>
        </w:tc>
        <w:tc>
          <w:tcPr>
            <w:tcW w:w="26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0" w:name="xdx_400_eus-gaap--OperatingIncomeLoss_iT"/>
            <w:bookmarkEnd w:id="110"/>
          </w:p>
        </w:tc>
      </w:tr>
      <w:tr>
        <w:trPr/>
        <w:tc>
          <w:tcPr>
            <w:tcW w:w="4280" w:type="dxa"/>
            <w:tcBorders/>
            <w:shd w:fill="CCEEFF" w:val="clear"/>
            <w:vAlign w:val="center"/>
          </w:tcPr>
          <w:p>
            <w:pPr>
              <w:pStyle w:val="TableContents"/>
              <w:bidi w:val="0"/>
              <w:spacing w:before="0" w:after="283"/>
              <w:jc w:val="both"/>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8" w:type="dxa"/>
            <w:tcBorders>
              <w:bottom w:val="single" w:sz="8" w:space="0" w:color="000000"/>
            </w:tcBorders>
            <w:shd w:fill="CCEEFF" w:val="clear"/>
            <w:tcMar>
              <w:bottom w:w="28" w:type="dxa"/>
            </w:tcMar>
            <w:vAlign w:val="center"/>
          </w:tcPr>
          <w:p>
            <w:pPr>
              <w:pStyle w:val="TableContents"/>
              <w:bidi w:val="0"/>
              <w:spacing w:before="0" w:after="283"/>
              <w:jc w:val="right"/>
              <w:rPr/>
            </w:pPr>
            <w:r>
              <w:rPr/>
              <w:t>(344</w:t>
            </w:r>
          </w:p>
        </w:tc>
        <w:tc>
          <w:tcPr>
            <w:tcW w:w="264"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CCEEFF" w:val="clear"/>
            <w:tcMar>
              <w:bottom w:w="28" w:type="dxa"/>
            </w:tcMar>
            <w:vAlign w:val="center"/>
          </w:tcPr>
          <w:p>
            <w:pPr>
              <w:pStyle w:val="TableContents"/>
              <w:bidi w:val="0"/>
              <w:spacing w:before="0" w:after="283"/>
              <w:jc w:val="right"/>
              <w:rPr/>
            </w:pPr>
            <w:r>
              <w:rPr/>
              <w:t>(3,436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1" w:name="xdx_988_eus-gaap--OperatingIncomeLoss_iT"/>
            <w:bookmarkEnd w:id="111"/>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pPr>
            <w:r>
              <w:rPr/>
              <w:t>(2,655</w:t>
            </w:r>
          </w:p>
        </w:tc>
        <w:tc>
          <w:tcPr>
            <w:tcW w:w="110" w:type="dxa"/>
            <w:tcBorders/>
            <w:shd w:fill="CCEEFF" w:val="clear"/>
            <w:vAlign w:val="center"/>
          </w:tcPr>
          <w:p>
            <w:pPr>
              <w:pStyle w:val="TableContents"/>
              <w:bidi w:val="0"/>
              <w:spacing w:before="0" w:after="283"/>
              <w:jc w:val="left"/>
              <w:rPr/>
            </w:pPr>
            <w:r>
              <w:rPr/>
              <w:t>)</w:t>
            </w:r>
          </w:p>
        </w:tc>
      </w:tr>
      <w:tr>
        <w:trPr/>
        <w:tc>
          <w:tcPr>
            <w:tcW w:w="4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pPr>
            <w:r>
              <w:rPr/>
              <w:t> </w:t>
            </w:r>
          </w:p>
        </w:tc>
        <w:tc>
          <w:tcPr>
            <w:tcW w:w="26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2" w:name="xdx_405_eus-gaap--NonoperatingIncomeExpe"/>
            <w:bookmarkEnd w:id="112"/>
          </w:p>
        </w:tc>
      </w:tr>
      <w:tr>
        <w:trPr/>
        <w:tc>
          <w:tcPr>
            <w:tcW w:w="4280" w:type="dxa"/>
            <w:tcBorders/>
            <w:shd w:fill="CCEEFF" w:val="clear"/>
            <w:vAlign w:val="center"/>
          </w:tcPr>
          <w:p>
            <w:pPr>
              <w:pStyle w:val="TableContents"/>
              <w:bidi w:val="0"/>
              <w:spacing w:before="0" w:after="283"/>
              <w:jc w:val="both"/>
              <w:rPr>
                <w:b/>
              </w:rPr>
            </w:pPr>
            <w:r>
              <w:rPr>
                <w:b/>
              </w:rPr>
              <w:t>Other income (expense)</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pPr>
            <w:r>
              <w:rPr/>
              <w:t> </w:t>
            </w:r>
          </w:p>
        </w:tc>
        <w:tc>
          <w:tcPr>
            <w:tcW w:w="264"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3" w:name="xdx_404_eus-gaap--InvestmentIncomeIntere"/>
            <w:bookmarkEnd w:id="113"/>
          </w:p>
        </w:tc>
      </w:tr>
      <w:tr>
        <w:trPr/>
        <w:tc>
          <w:tcPr>
            <w:tcW w:w="4280" w:type="dxa"/>
            <w:tcBorders/>
            <w:shd w:fill="FFFFFF" w:val="clear"/>
            <w:vAlign w:val="center"/>
          </w:tcPr>
          <w:p>
            <w:pPr>
              <w:pStyle w:val="TableContents"/>
              <w:bidi w:val="0"/>
              <w:spacing w:before="0" w:after="283"/>
              <w:jc w:val="both"/>
              <w:rPr/>
            </w:pPr>
            <w:r>
              <w:rPr/>
              <w:t>Interest income</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pPr>
            <w:r>
              <w:rPr/>
              <w:t>-</w:t>
            </w:r>
            <w:bookmarkStart w:id="114" w:name="xdx_F20_zgQ2JXKOkDL8"/>
            <w:bookmarkEnd w:id="114"/>
            <w:r>
              <w:rPr>
                <w:rFonts w:ascii="Times New Roman;Times;Serif" w:hAnsi="Times New Roman;Times;Serif"/>
                <w:sz w:val="20"/>
              </w:rPr>
              <w:t>**</w:t>
            </w:r>
          </w:p>
        </w:tc>
        <w:tc>
          <w:tcPr>
            <w:tcW w:w="264"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115" w:name="xdx_986_eus-gaap--InvestmentIncomeIntere"/>
            <w:bookmarkEnd w:id="115"/>
          </w:p>
        </w:tc>
        <w:tc>
          <w:tcPr>
            <w:tcW w:w="827" w:type="dxa"/>
            <w:tcBorders/>
            <w:shd w:fill="FFFFFF" w:val="clear"/>
            <w:vAlign w:val="center"/>
          </w:tcPr>
          <w:p>
            <w:pPr>
              <w:pStyle w:val="TableContents"/>
              <w:bidi w:val="0"/>
              <w:spacing w:before="0" w:after="283"/>
              <w:jc w:val="right"/>
              <w:rPr/>
            </w:pPr>
            <w:r>
              <w:rPr/>
              <w:t>16</w:t>
            </w:r>
          </w:p>
        </w:tc>
        <w:tc>
          <w:tcPr>
            <w:tcW w:w="110" w:type="dxa"/>
            <w:tcBorders/>
            <w:shd w:fill="FFFFFF" w:val="clear"/>
            <w:vAlign w:val="center"/>
          </w:tcPr>
          <w:p>
            <w:pPr>
              <w:pStyle w:val="TableContents"/>
              <w:bidi w:val="0"/>
              <w:spacing w:before="0" w:after="283"/>
              <w:jc w:val="left"/>
              <w:rPr/>
            </w:pPr>
            <w:r>
              <w:rPr/>
              <w:t> </w:t>
            </w:r>
            <w:bookmarkStart w:id="116" w:name="xdx_406_eus-gaap--InterestExpenseNonoper"/>
            <w:bookmarkEnd w:id="116"/>
          </w:p>
        </w:tc>
      </w:tr>
      <w:tr>
        <w:trPr/>
        <w:tc>
          <w:tcPr>
            <w:tcW w:w="4280" w:type="dxa"/>
            <w:tcBorders/>
            <w:shd w:fill="CCEEFF" w:val="clear"/>
            <w:vAlign w:val="center"/>
          </w:tcPr>
          <w:p>
            <w:pPr>
              <w:pStyle w:val="TableContents"/>
              <w:bidi w:val="0"/>
              <w:spacing w:before="0" w:after="283"/>
              <w:jc w:val="both"/>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pPr>
            <w:r>
              <w:rPr/>
              <w:t>(11</w:t>
            </w:r>
          </w:p>
        </w:tc>
        <w:tc>
          <w:tcPr>
            <w:tcW w:w="264"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117" w:name="xdx_983_eus-gaap--InterestExpenseNonoper"/>
            <w:bookmarkEnd w:id="117"/>
          </w:p>
        </w:tc>
        <w:tc>
          <w:tcPr>
            <w:tcW w:w="827" w:type="dxa"/>
            <w:tcBorders/>
            <w:shd w:fill="CCEEFF" w:val="clear"/>
            <w:vAlign w:val="center"/>
          </w:tcPr>
          <w:p>
            <w:pPr>
              <w:pStyle w:val="TableContents"/>
              <w:bidi w:val="0"/>
              <w:spacing w:before="0" w:after="283"/>
              <w:jc w:val="right"/>
              <w:rPr/>
            </w:pPr>
            <w:r>
              <w:rPr/>
              <w:t>(5</w:t>
            </w:r>
          </w:p>
        </w:tc>
        <w:tc>
          <w:tcPr>
            <w:tcW w:w="110" w:type="dxa"/>
            <w:tcBorders/>
            <w:shd w:fill="CCEEFF" w:val="clear"/>
            <w:vAlign w:val="center"/>
          </w:tcPr>
          <w:p>
            <w:pPr>
              <w:pStyle w:val="TableContents"/>
              <w:bidi w:val="0"/>
              <w:spacing w:before="0" w:after="283"/>
              <w:jc w:val="left"/>
              <w:rPr/>
            </w:pPr>
            <w:r>
              <w:rPr/>
              <w:t>)</w:t>
            </w:r>
            <w:bookmarkStart w:id="118" w:name="xdx_40B_ecustom--GovernmentGrants_i01_ma"/>
            <w:bookmarkEnd w:id="118"/>
          </w:p>
        </w:tc>
      </w:tr>
      <w:tr>
        <w:trPr/>
        <w:tc>
          <w:tcPr>
            <w:tcW w:w="4280" w:type="dxa"/>
            <w:tcBorders/>
            <w:shd w:fill="FFFFFF" w:val="clear"/>
            <w:vAlign w:val="center"/>
          </w:tcPr>
          <w:p>
            <w:pPr>
              <w:pStyle w:val="TableContents"/>
              <w:bidi w:val="0"/>
              <w:spacing w:before="0" w:after="283"/>
              <w:jc w:val="both"/>
              <w:rPr/>
            </w:pPr>
            <w:r>
              <w:rPr/>
              <w:t>Government grants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pPr>
            <w:r>
              <w:rPr/>
              <w:t>91</w:t>
            </w:r>
          </w:p>
        </w:tc>
        <w:tc>
          <w:tcPr>
            <w:tcW w:w="26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119" w:name="xdx_98E_ecustom--GovernmentGrants_i01_pn"/>
            <w:bookmarkEnd w:id="119"/>
          </w:p>
        </w:tc>
        <w:tc>
          <w:tcPr>
            <w:tcW w:w="827" w:type="dxa"/>
            <w:tcBorders/>
            <w:shd w:fill="FFFFFF" w:val="clear"/>
            <w:vAlign w:val="center"/>
          </w:tcPr>
          <w:p>
            <w:pPr>
              <w:pStyle w:val="TableContents"/>
              <w:bidi w:val="0"/>
              <w:spacing w:before="0" w:after="283"/>
              <w:jc w:val="right"/>
              <w:rPr/>
            </w:pPr>
            <w:r>
              <w:rPr/>
              <w:t>10</w:t>
            </w:r>
          </w:p>
        </w:tc>
        <w:tc>
          <w:tcPr>
            <w:tcW w:w="110" w:type="dxa"/>
            <w:tcBorders/>
            <w:shd w:fill="FFFFFF" w:val="clear"/>
            <w:vAlign w:val="center"/>
          </w:tcPr>
          <w:p>
            <w:pPr>
              <w:pStyle w:val="TableContents"/>
              <w:bidi w:val="0"/>
              <w:spacing w:before="0" w:after="283"/>
              <w:jc w:val="left"/>
              <w:rPr/>
            </w:pPr>
            <w:r>
              <w:rPr/>
              <w:t> </w:t>
            </w:r>
            <w:bookmarkStart w:id="120" w:name="xdx_409_ecustom--RentalIncome_i01_maNIEz"/>
            <w:bookmarkEnd w:id="120"/>
          </w:p>
        </w:tc>
      </w:tr>
      <w:tr>
        <w:trPr/>
        <w:tc>
          <w:tcPr>
            <w:tcW w:w="4280" w:type="dxa"/>
            <w:tcBorders/>
            <w:shd w:fill="CCEEFF" w:val="clear"/>
            <w:vAlign w:val="center"/>
          </w:tcPr>
          <w:p>
            <w:pPr>
              <w:pStyle w:val="TableContents"/>
              <w:bidi w:val="0"/>
              <w:spacing w:before="0" w:after="283"/>
              <w:jc w:val="both"/>
              <w:rPr/>
            </w:pPr>
            <w:r>
              <w:rPr/>
              <w:t>Rental income</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8" w:type="dxa"/>
            <w:tcBorders>
              <w:bottom w:val="single" w:sz="8" w:space="0" w:color="000000"/>
            </w:tcBorders>
            <w:shd w:fill="CCEEFF" w:val="clear"/>
            <w:tcMar>
              <w:bottom w:w="28" w:type="dxa"/>
            </w:tcMar>
            <w:vAlign w:val="center"/>
          </w:tcPr>
          <w:p>
            <w:pPr>
              <w:pStyle w:val="TableContents"/>
              <w:bidi w:val="0"/>
              <w:spacing w:before="0" w:after="283"/>
              <w:jc w:val="right"/>
              <w:rPr/>
            </w:pPr>
            <w:r>
              <w:rPr/>
              <w:t>16</w:t>
            </w:r>
          </w:p>
        </w:tc>
        <w:tc>
          <w:tcPr>
            <w:tcW w:w="264"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CCEEFF" w:val="clear"/>
            <w:tcMar>
              <w:bottom w:w="28" w:type="dxa"/>
            </w:tcMar>
            <w:vAlign w:val="center"/>
          </w:tcPr>
          <w:p>
            <w:pPr>
              <w:pStyle w:val="TableContents"/>
              <w:bidi w:val="0"/>
              <w:spacing w:before="0" w:after="283"/>
              <w:jc w:val="right"/>
              <w:rPr/>
            </w:pPr>
            <w:r>
              <w:rPr/>
              <w:t>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21" w:name="xdx_986_ecustom--RentalIncome_i01_pn3n3_"/>
            <w:bookmarkEnd w:id="121"/>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pPr>
            <w:r>
              <w:rPr/>
              <w:t>12</w:t>
            </w:r>
          </w:p>
        </w:tc>
        <w:tc>
          <w:tcPr>
            <w:tcW w:w="110" w:type="dxa"/>
            <w:tcBorders/>
            <w:shd w:fill="CCEEFF" w:val="clear"/>
            <w:vAlign w:val="center"/>
          </w:tcPr>
          <w:p>
            <w:pPr>
              <w:pStyle w:val="TableContents"/>
              <w:bidi w:val="0"/>
              <w:spacing w:before="0" w:after="283"/>
              <w:jc w:val="left"/>
              <w:rPr/>
            </w:pPr>
            <w:r>
              <w:rPr/>
              <w:t> </w:t>
            </w:r>
            <w:bookmarkStart w:id="122" w:name="xdx_402_eus-gaap--NonoperatingIncomeExpe"/>
            <w:bookmarkEnd w:id="122"/>
          </w:p>
        </w:tc>
      </w:tr>
      <w:tr>
        <w:trPr/>
        <w:tc>
          <w:tcPr>
            <w:tcW w:w="4280" w:type="dxa"/>
            <w:tcBorders/>
            <w:shd w:fill="FFFFFF" w:val="clear"/>
            <w:vAlign w:val="center"/>
          </w:tcPr>
          <w:p>
            <w:pPr>
              <w:pStyle w:val="TableContents"/>
              <w:bidi w:val="0"/>
              <w:spacing w:before="0" w:after="283"/>
              <w:jc w:val="both"/>
              <w:rPr>
                <w:b/>
              </w:rPr>
            </w:pPr>
            <w:r>
              <w:rPr>
                <w:b/>
              </w:rPr>
              <w:t>Total other income, net</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8" w:type="dxa"/>
            <w:tcBorders>
              <w:bottom w:val="single" w:sz="8" w:space="0" w:color="000000"/>
            </w:tcBorders>
            <w:shd w:fill="FFFFFF" w:val="clear"/>
            <w:tcMar>
              <w:bottom w:w="28" w:type="dxa"/>
            </w:tcMar>
            <w:vAlign w:val="center"/>
          </w:tcPr>
          <w:p>
            <w:pPr>
              <w:pStyle w:val="TableContents"/>
              <w:bidi w:val="0"/>
              <w:spacing w:before="0" w:after="283"/>
              <w:jc w:val="right"/>
              <w:rPr/>
            </w:pPr>
            <w:r>
              <w:rPr/>
              <w:t>96</w:t>
            </w:r>
          </w:p>
        </w:tc>
        <w:tc>
          <w:tcPr>
            <w:tcW w:w="26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pPr>
            <w:r>
              <w:rPr/>
              <w:t>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3" w:name="xdx_98D_eus-gaap--NonoperatingIncomeExpe"/>
            <w:bookmarkEnd w:id="123"/>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pPr>
            <w:r>
              <w:rPr/>
              <w:t>33</w:t>
            </w:r>
          </w:p>
        </w:tc>
        <w:tc>
          <w:tcPr>
            <w:tcW w:w="110"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pPr>
            <w:r>
              <w:rPr/>
              <w:t> </w:t>
            </w:r>
          </w:p>
        </w:tc>
        <w:tc>
          <w:tcPr>
            <w:tcW w:w="264"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4" w:name="xdx_409_eus-gaap--IncomeLossFromContinui"/>
            <w:bookmarkEnd w:id="124"/>
          </w:p>
        </w:tc>
      </w:tr>
      <w:tr>
        <w:trPr/>
        <w:tc>
          <w:tcPr>
            <w:tcW w:w="4280" w:type="dxa"/>
            <w:tcBorders/>
            <w:shd w:fill="FFFFFF" w:val="clear"/>
            <w:vAlign w:val="center"/>
          </w:tcPr>
          <w:p>
            <w:pPr>
              <w:pStyle w:val="TableContents"/>
              <w:bidi w:val="0"/>
              <w:spacing w:before="0" w:after="283"/>
              <w:jc w:val="both"/>
              <w:rPr>
                <w:b/>
              </w:rPr>
            </w:pPr>
            <w:r>
              <w:rPr>
                <w:b/>
              </w:rPr>
              <w:t>Loss before income tax</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8" w:type="dxa"/>
            <w:tcBorders>
              <w:bottom w:val="single" w:sz="8" w:space="0" w:color="000000"/>
            </w:tcBorders>
            <w:shd w:fill="FFFFFF" w:val="clear"/>
            <w:tcMar>
              <w:bottom w:w="28" w:type="dxa"/>
            </w:tcMar>
            <w:vAlign w:val="center"/>
          </w:tcPr>
          <w:p>
            <w:pPr>
              <w:pStyle w:val="TableContents"/>
              <w:bidi w:val="0"/>
              <w:spacing w:before="0" w:after="283"/>
              <w:jc w:val="right"/>
              <w:rPr/>
            </w:pPr>
            <w:r>
              <w:rPr/>
              <w:t>(248</w:t>
            </w:r>
          </w:p>
        </w:tc>
        <w:tc>
          <w:tcPr>
            <w:tcW w:w="264"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pPr>
            <w:r>
              <w:rPr/>
              <w:t>(3,394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5" w:name="xdx_98E_eus-gaap--IncomeLossFromContinui"/>
            <w:bookmarkEnd w:id="125"/>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pPr>
            <w:r>
              <w:rPr/>
              <w:t>(2,622</w:t>
            </w:r>
          </w:p>
        </w:tc>
        <w:tc>
          <w:tcPr>
            <w:tcW w:w="110" w:type="dxa"/>
            <w:tcBorders/>
            <w:shd w:fill="FFFFFF" w:val="clear"/>
            <w:vAlign w:val="center"/>
          </w:tcPr>
          <w:p>
            <w:pPr>
              <w:pStyle w:val="TableContents"/>
              <w:bidi w:val="0"/>
              <w:spacing w:before="0" w:after="283"/>
              <w:jc w:val="left"/>
              <w:rPr/>
            </w:pPr>
            <w:r>
              <w:rPr/>
              <w:t>)</w:t>
            </w:r>
          </w:p>
        </w:tc>
      </w:tr>
      <w:tr>
        <w:trPr/>
        <w:tc>
          <w:tcPr>
            <w:tcW w:w="42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pPr>
            <w:r>
              <w:rPr/>
              <w:t> </w:t>
            </w:r>
          </w:p>
        </w:tc>
        <w:tc>
          <w:tcPr>
            <w:tcW w:w="264"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6" w:name="xdx_406_eus-gaap--IncomeTaxExpenseBenefi"/>
            <w:bookmarkEnd w:id="126"/>
          </w:p>
        </w:tc>
      </w:tr>
      <w:tr>
        <w:trPr/>
        <w:tc>
          <w:tcPr>
            <w:tcW w:w="4280" w:type="dxa"/>
            <w:tcBorders/>
            <w:shd w:fill="FFFFFF" w:val="clear"/>
            <w:vAlign w:val="center"/>
          </w:tcPr>
          <w:p>
            <w:pPr>
              <w:pStyle w:val="TableContents"/>
              <w:bidi w:val="0"/>
              <w:spacing w:before="0" w:after="283"/>
              <w:jc w:val="both"/>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6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7" w:name="xdx_981_eus-gaap--IncomeTaxExpenseBenefi"/>
            <w:bookmarkEnd w:id="127"/>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110"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pPr>
            <w:r>
              <w:rPr/>
              <w:t> </w:t>
            </w:r>
          </w:p>
        </w:tc>
        <w:tc>
          <w:tcPr>
            <w:tcW w:w="264"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8" w:name="xdx_405_eus-gaap--NetIncomeLoss_iT_mtNIL"/>
            <w:bookmarkEnd w:id="128"/>
          </w:p>
        </w:tc>
      </w:tr>
      <w:tr>
        <w:trPr/>
        <w:tc>
          <w:tcPr>
            <w:tcW w:w="4280" w:type="dxa"/>
            <w:tcBorders/>
            <w:shd w:fill="FFFFFF" w:val="clear"/>
            <w:vAlign w:val="center"/>
          </w:tcPr>
          <w:p>
            <w:pPr>
              <w:pStyle w:val="TableContents"/>
              <w:bidi w:val="0"/>
              <w:spacing w:before="0" w:after="283"/>
              <w:jc w:val="both"/>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8" w:type="dxa"/>
            <w:tcBorders>
              <w:bottom w:val="single" w:sz="8" w:space="0" w:color="000000"/>
            </w:tcBorders>
            <w:shd w:fill="FFFFFF" w:val="clear"/>
            <w:tcMar>
              <w:bottom w:w="28" w:type="dxa"/>
            </w:tcMar>
            <w:vAlign w:val="center"/>
          </w:tcPr>
          <w:p>
            <w:pPr>
              <w:pStyle w:val="TableContents"/>
              <w:bidi w:val="0"/>
              <w:spacing w:before="0" w:after="283"/>
              <w:jc w:val="right"/>
              <w:rPr/>
            </w:pPr>
            <w:r>
              <w:rPr/>
              <w:t>(248</w:t>
            </w:r>
          </w:p>
        </w:tc>
        <w:tc>
          <w:tcPr>
            <w:tcW w:w="264"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pPr>
            <w:r>
              <w:rPr/>
              <w:t>(3,385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9" w:name="xdx_98F_eus-gaap--NetIncomeLoss_iT_pn3n3"/>
            <w:bookmarkEnd w:id="129"/>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pPr>
            <w:r>
              <w:rPr/>
              <w:t>(2,615</w:t>
            </w:r>
          </w:p>
        </w:tc>
        <w:tc>
          <w:tcPr>
            <w:tcW w:w="110" w:type="dxa"/>
            <w:tcBorders/>
            <w:shd w:fill="FFFFFF" w:val="clear"/>
            <w:vAlign w:val="center"/>
          </w:tcPr>
          <w:p>
            <w:pPr>
              <w:pStyle w:val="TableContents"/>
              <w:bidi w:val="0"/>
              <w:spacing w:before="0" w:after="283"/>
              <w:jc w:val="left"/>
              <w:rPr/>
            </w:pPr>
            <w:r>
              <w:rPr/>
              <w:t>)</w:t>
            </w:r>
          </w:p>
        </w:tc>
      </w:tr>
      <w:tr>
        <w:trPr/>
        <w:tc>
          <w:tcPr>
            <w:tcW w:w="42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pPr>
            <w:r>
              <w:rPr/>
              <w:t> </w:t>
            </w:r>
          </w:p>
        </w:tc>
        <w:tc>
          <w:tcPr>
            <w:tcW w:w="264"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0" w:name="xdx_40A_eus-gaap--OtherComprehensiveInco"/>
            <w:bookmarkEnd w:id="130"/>
          </w:p>
        </w:tc>
      </w:tr>
      <w:tr>
        <w:trPr/>
        <w:tc>
          <w:tcPr>
            <w:tcW w:w="4280" w:type="dxa"/>
            <w:tcBorders/>
            <w:shd w:fill="FFFFFF" w:val="clear"/>
            <w:vAlign w:val="center"/>
          </w:tcPr>
          <w:p>
            <w:pPr>
              <w:pStyle w:val="TableContents"/>
              <w:bidi w:val="0"/>
              <w:spacing w:before="0" w:after="283"/>
              <w:jc w:val="both"/>
              <w:rPr/>
            </w:pPr>
            <w:r>
              <w:rPr/>
              <w:t>Other comprehensive income</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pPr>
            <w:r>
              <w:rPr/>
              <w:t> </w:t>
            </w:r>
          </w:p>
        </w:tc>
        <w:tc>
          <w:tcPr>
            <w:tcW w:w="26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1" w:name="xdx_40D_eus-gaap--OtherComprehensiveInco"/>
            <w:bookmarkEnd w:id="131"/>
          </w:p>
        </w:tc>
      </w:tr>
      <w:tr>
        <w:trPr/>
        <w:tc>
          <w:tcPr>
            <w:tcW w:w="4280" w:type="dxa"/>
            <w:tcBorders/>
            <w:shd w:fill="CCEEFF" w:val="clear"/>
            <w:vAlign w:val="center"/>
          </w:tcPr>
          <w:p>
            <w:pPr>
              <w:pStyle w:val="TableContents"/>
              <w:bidi w:val="0"/>
              <w:spacing w:before="0" w:after="283"/>
              <w:jc w:val="both"/>
              <w:rPr/>
            </w:pPr>
            <w:r>
              <w:rPr/>
              <w:t>Foreign currency adjustments</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264"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CCEEFF" w:val="clear"/>
            <w:tcMar>
              <w:bottom w:w="28" w:type="dxa"/>
            </w:tcM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32" w:name="xdx_98A_eus-gaap--OtherComprehensiveInco"/>
            <w:bookmarkEnd w:id="132"/>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pPr>
            <w:r>
              <w:rPr/>
              <w:t>12</w:t>
            </w:r>
          </w:p>
        </w:tc>
        <w:tc>
          <w:tcPr>
            <w:tcW w:w="110"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pPr>
            <w:r>
              <w:rPr/>
              <w:t> </w:t>
            </w:r>
          </w:p>
        </w:tc>
        <w:tc>
          <w:tcPr>
            <w:tcW w:w="26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3" w:name="xdx_404_eus-gaap--ComprehensiveIncomeNet"/>
            <w:bookmarkEnd w:id="133"/>
          </w:p>
        </w:tc>
      </w:tr>
      <w:tr>
        <w:trPr/>
        <w:tc>
          <w:tcPr>
            <w:tcW w:w="4280" w:type="dxa"/>
            <w:tcBorders/>
            <w:shd w:fill="CCEEFF" w:val="clear"/>
            <w:vAlign w:val="center"/>
          </w:tcPr>
          <w:p>
            <w:pPr>
              <w:pStyle w:val="TableContents"/>
              <w:bidi w:val="0"/>
              <w:spacing w:before="0" w:after="283"/>
              <w:jc w:val="both"/>
              <w:rPr>
                <w:b/>
              </w:rPr>
            </w:pPr>
            <w:r>
              <w:rPr>
                <w:b/>
              </w:rPr>
              <w:t>TOTAL COMPREHENSIVE LOSS</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8" w:type="dxa"/>
            <w:tcBorders>
              <w:bottom w:val="single" w:sz="8" w:space="0" w:color="000000"/>
            </w:tcBorders>
            <w:shd w:fill="CCEEFF" w:val="clear"/>
            <w:tcMar>
              <w:bottom w:w="28" w:type="dxa"/>
            </w:tcMar>
            <w:vAlign w:val="center"/>
          </w:tcPr>
          <w:p>
            <w:pPr>
              <w:pStyle w:val="TableContents"/>
              <w:bidi w:val="0"/>
              <w:spacing w:before="0" w:after="283"/>
              <w:jc w:val="right"/>
              <w:rPr/>
            </w:pPr>
            <w:r>
              <w:rPr/>
              <w:t>(248</w:t>
            </w:r>
          </w:p>
        </w:tc>
        <w:tc>
          <w:tcPr>
            <w:tcW w:w="264"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CCEEFF" w:val="clear"/>
            <w:tcMar>
              <w:bottom w:w="28" w:type="dxa"/>
            </w:tcMar>
            <w:vAlign w:val="center"/>
          </w:tcPr>
          <w:p>
            <w:pPr>
              <w:pStyle w:val="TableContents"/>
              <w:bidi w:val="0"/>
              <w:spacing w:before="0" w:after="283"/>
              <w:jc w:val="right"/>
              <w:rPr/>
            </w:pPr>
            <w:r>
              <w:rPr/>
              <w:t>(3,380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34" w:name="xdx_987_eus-gaap--ComprehensiveIncomeNet"/>
            <w:bookmarkEnd w:id="134"/>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pPr>
            <w:r>
              <w:rPr/>
              <w:t>(2,603</w:t>
            </w:r>
          </w:p>
        </w:tc>
        <w:tc>
          <w:tcPr>
            <w:tcW w:w="110" w:type="dxa"/>
            <w:tcBorders/>
            <w:shd w:fill="CCEEFF" w:val="clear"/>
            <w:vAlign w:val="center"/>
          </w:tcPr>
          <w:p>
            <w:pPr>
              <w:pStyle w:val="TableContents"/>
              <w:bidi w:val="0"/>
              <w:spacing w:before="0" w:after="283"/>
              <w:jc w:val="left"/>
              <w:rPr/>
            </w:pPr>
            <w:r>
              <w:rPr/>
              <w:t>)</w:t>
            </w:r>
          </w:p>
        </w:tc>
      </w:tr>
      <w:tr>
        <w:trPr/>
        <w:tc>
          <w:tcPr>
            <w:tcW w:w="428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pPr>
            <w:r>
              <w:rPr/>
              <w:t> </w:t>
            </w:r>
          </w:p>
        </w:tc>
        <w:tc>
          <w:tcPr>
            <w:tcW w:w="26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both"/>
              <w:rPr/>
            </w:pPr>
            <w:r>
              <w:rPr/>
              <w:t>Earnings (Loss) per ordinary share</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pPr>
            <w:r>
              <w:rPr/>
              <w:t> </w:t>
            </w:r>
          </w:p>
        </w:tc>
        <w:tc>
          <w:tcPr>
            <w:tcW w:w="264"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283"/>
              <w:jc w:val="both"/>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8"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135" w:name="xdx_90E_eus-gaap--EarningsPerShareDilute"/>
            <w:bookmarkStart w:id="136" w:name="xdx_902_eus-gaap--EarningsPerShareBasic_"/>
            <w:bookmarkEnd w:id="135"/>
            <w:bookmarkEnd w:id="136"/>
            <w:r>
              <w:rPr/>
              <w:t>(30.26</w:t>
            </w:r>
          </w:p>
        </w:tc>
        <w:tc>
          <w:tcPr>
            <w:tcW w:w="264"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137" w:name="xdx_909_eus-gaap--EarningsPerShareDilute"/>
            <w:bookmarkStart w:id="138" w:name="xdx_90E_eus-gaap--EarningsPerShareBasic_"/>
            <w:bookmarkEnd w:id="137"/>
            <w:bookmarkEnd w:id="138"/>
            <w:r>
              <w:rPr/>
              <w:t>(3.66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139" w:name="xdx_90C_eus-gaap--EarningsPerShareDilute"/>
            <w:bookmarkStart w:id="140" w:name="xdx_901_eus-gaap--EarningsPerShareBasic_"/>
            <w:bookmarkEnd w:id="139"/>
            <w:bookmarkEnd w:id="140"/>
            <w:r>
              <w:rPr/>
              <w:t>(2.83</w:t>
            </w:r>
          </w:p>
        </w:tc>
        <w:tc>
          <w:tcPr>
            <w:tcW w:w="110" w:type="dxa"/>
            <w:tcBorders/>
            <w:shd w:fill="FFFFFF" w:val="clear"/>
            <w:vAlign w:val="center"/>
          </w:tcPr>
          <w:p>
            <w:pPr>
              <w:pStyle w:val="TableContents"/>
              <w:bidi w:val="0"/>
              <w:spacing w:before="0" w:after="283"/>
              <w:jc w:val="left"/>
              <w:rPr/>
            </w:pPr>
            <w:r>
              <w:rPr/>
              <w:t>)</w:t>
            </w:r>
          </w:p>
        </w:tc>
      </w:tr>
      <w:tr>
        <w:trPr/>
        <w:tc>
          <w:tcPr>
            <w:tcW w:w="42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pPr>
            <w:r>
              <w:rPr/>
              <w:t> </w:t>
            </w:r>
          </w:p>
        </w:tc>
        <w:tc>
          <w:tcPr>
            <w:tcW w:w="264"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283"/>
              <w:jc w:val="both"/>
              <w:rPr/>
            </w:pPr>
            <w:r>
              <w:rPr/>
              <w:t>Weighted average number of ordinary shares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pPr>
            <w:r>
              <w:rPr/>
              <w:t> </w:t>
            </w:r>
          </w:p>
        </w:tc>
        <w:tc>
          <w:tcPr>
            <w:tcW w:w="26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both"/>
              <w:rPr>
                <w:b/>
              </w:rPr>
            </w:pPr>
            <w:r>
              <w:rPr>
                <w:b/>
              </w:rPr>
              <w:t>Basic and diluted*</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8"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141" w:name="xdx_90C_eus-gaap--WeightedAverageNumberO"/>
            <w:bookmarkStart w:id="142" w:name="xdx_907_eus-gaap--WeightedAverageNumberO"/>
            <w:bookmarkEnd w:id="141"/>
            <w:bookmarkEnd w:id="142"/>
            <w:r>
              <w:rPr/>
              <w:t>8,197</w:t>
            </w:r>
          </w:p>
        </w:tc>
        <w:tc>
          <w:tcPr>
            <w:tcW w:w="264"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143" w:name="xdx_90D_eus-gaap--WeightedAverageNumberO"/>
            <w:bookmarkStart w:id="144" w:name="xdx_906_eus-gaap--WeightedAverageNumberO"/>
            <w:bookmarkEnd w:id="143"/>
            <w:bookmarkEnd w:id="144"/>
            <w:r>
              <w:rPr/>
              <w:t>924,803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145" w:name="xdx_902_eus-gaap--WeightedAverageNumberO"/>
            <w:bookmarkStart w:id="146" w:name="xdx_90A_eus-gaap--WeightedAverageNumberO"/>
            <w:bookmarkEnd w:id="145"/>
            <w:bookmarkEnd w:id="146"/>
            <w:r>
              <w:rPr/>
              <w:t>924,803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47" w:name="xdx_F0B_zwde6tgy7pcc"/>
            <w:bookmarkEnd w:id="147"/>
            <w:r>
              <w:rPr>
                <w:rFonts w:ascii="Times New Roman;Times;Serif" w:hAnsi="Times New Roman;Times;Serif"/>
                <w:b w:val="false"/>
                <w:i w:val="false"/>
                <w:caps w:val="false"/>
                <w:smallCaps w:val="false"/>
                <w:sz w:val="20"/>
              </w:rPr>
              <w:t>*</w:t>
            </w:r>
          </w:p>
        </w:tc>
        <w:tc>
          <w:tcPr>
            <w:tcW w:w="100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48" w:name="xdx_F17_zmmtfsgn5T89"/>
            <w:bookmarkEnd w:id="148"/>
            <w:r>
              <w:rPr>
                <w:rFonts w:ascii="Times New Roman;Times;Serif" w:hAnsi="Times New Roman;Times;Serif"/>
                <w:b w:val="false"/>
                <w:i w:val="false"/>
                <w:caps w:val="false"/>
                <w:smallCaps w:val="false"/>
                <w:sz w:val="20"/>
              </w:rPr>
              <w:t xml:space="preserve">Retrospectively presented for the effect of (i) the issuance of </w:t>
            </w:r>
            <w:bookmarkStart w:id="149" w:name="xdx_90D_eus-gaap--StockIssuedDuringPerio"/>
            <w:bookmarkEnd w:id="149"/>
            <w:r>
              <w:rPr>
                <w:rFonts w:ascii="Times New Roman;Times;Serif" w:hAnsi="Times New Roman;Times;Serif"/>
                <w:b w:val="false"/>
                <w:i w:val="false"/>
                <w:caps w:val="false"/>
                <w:smallCaps w:val="false"/>
                <w:sz w:val="20"/>
              </w:rPr>
              <w:t xml:space="preserve">1 ordinary share on February 15, 2024 in preparation of the Company’s initial public offering, (ii) the </w:t>
            </w:r>
            <w:bookmarkStart w:id="150" w:name="xdx_90D_eus-gaap--StockholdersEquityNote"/>
            <w:bookmarkEnd w:id="150"/>
            <w:r>
              <w:rPr>
                <w:rFonts w:ascii="Times New Roman;Times;Serif" w:hAnsi="Times New Roman;Times;Serif"/>
                <w:b w:val="false"/>
                <w:i w:val="false"/>
                <w:caps w:val="false"/>
                <w:smallCaps w:val="false"/>
                <w:sz w:val="20"/>
              </w:rPr>
              <w:t xml:space="preserve">1:200 share subdivision and </w:t>
            </w:r>
            <w:bookmarkStart w:id="151" w:name="xdx_904_eus-gaap--SharesIssued_iI_pid_c2"/>
            <w:bookmarkEnd w:id="151"/>
            <w:r>
              <w:rPr>
                <w:rFonts w:ascii="Times New Roman;Times;Serif" w:hAnsi="Times New Roman;Times;Serif"/>
                <w:b w:val="false"/>
                <w:i w:val="false"/>
                <w:caps w:val="false"/>
                <w:smallCaps w:val="false"/>
                <w:sz w:val="20"/>
              </w:rPr>
              <w:t>5,000,000 share surrender approved on October 2, 2024, (iii) the 15 for 1 reverse share split effected on February 12, 2026, and (iv) the 30 for 1 reverse share split effected on May 4, 2026.</w:t>
            </w:r>
          </w:p>
        </w:tc>
      </w:tr>
      <w:tr>
        <w:trPr/>
        <w:tc>
          <w:tcPr>
            <w:tcW w:w="171" w:type="dxa"/>
            <w:tcBorders/>
            <w:vAlign w:val="center"/>
          </w:tcPr>
          <w:p>
            <w:pPr>
              <w:pStyle w:val="TableContents"/>
              <w:bidi w:val="0"/>
              <w:spacing w:before="0" w:after="283"/>
              <w:jc w:val="both"/>
              <w:rPr>
                <w:caps w:val="false"/>
                <w:smallCaps w:val="false"/>
              </w:rPr>
            </w:pPr>
            <w:r>
              <w:rPr>
                <w:caps w:val="false"/>
                <w:smallCaps w:val="false"/>
              </w:rPr>
              <w:t> </w:t>
            </w:r>
          </w:p>
        </w:tc>
        <w:tc>
          <w:tcPr>
            <w:tcW w:w="1003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52" w:name="xdx_F06_zHtR9Lic3a2k"/>
            <w:bookmarkEnd w:id="152"/>
            <w:r>
              <w:rPr>
                <w:rFonts w:ascii="Times New Roman;Times;Serif" w:hAnsi="Times New Roman;Times;Serif"/>
                <w:b w:val="false"/>
                <w:i w:val="false"/>
                <w:caps w:val="false"/>
                <w:smallCaps w:val="false"/>
                <w:sz w:val="20"/>
              </w:rPr>
              <w:t>**</w:t>
            </w:r>
          </w:p>
        </w:tc>
        <w:tc>
          <w:tcPr>
            <w:tcW w:w="100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53" w:name="xdx_F12_zGN7xyHsaL77"/>
            <w:bookmarkEnd w:id="153"/>
            <w:r>
              <w:rPr>
                <w:rFonts w:ascii="Times New Roman;Times;Serif" w:hAnsi="Times New Roman;Times;Serif"/>
                <w:b w:val="false"/>
                <w:i w:val="false"/>
                <w:caps w:val="false"/>
                <w:smallCaps w:val="false"/>
                <w:sz w:val="20"/>
              </w:rPr>
              <w:t>Below S$1,000/US$1,000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interim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FITNESS CHAMPS HOLDINGS LTD AND SUBSIDIARIES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INTERIM CONSOLIDATED STATEMENTS OF CHANGES IN SHAREHOLDERS’ EQUITY (DEFICIT)</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4" w:name="xdx_303_114_pn3n3_zHBnldhGAgRi"/>
      <w:bookmarkStart w:id="155" w:name="xdx_303_114_pn3n3_zHBnldhGAgRi"/>
      <w:bookmarkEnd w:id="155"/>
    </w:p>
    <w:tbl>
      <w:tblPr>
        <w:tblW w:w="10205" w:type="dxa"/>
        <w:jc w:val="left"/>
        <w:tblInd w:w="0" w:type="dxa"/>
        <w:tblLayout w:type="fixed"/>
        <w:tblCellMar>
          <w:top w:w="0" w:type="dxa"/>
          <w:left w:w="0" w:type="dxa"/>
          <w:bottom w:w="0" w:type="dxa"/>
          <w:right w:w="0" w:type="dxa"/>
        </w:tblCellMar>
      </w:tblPr>
      <w:tblGrid>
        <w:gridCol w:w="2193"/>
        <w:gridCol w:w="60"/>
        <w:gridCol w:w="63"/>
        <w:gridCol w:w="1044"/>
        <w:gridCol w:w="63"/>
        <w:gridCol w:w="63"/>
        <w:gridCol w:w="278"/>
        <w:gridCol w:w="582"/>
        <w:gridCol w:w="198"/>
        <w:gridCol w:w="60"/>
        <w:gridCol w:w="106"/>
        <w:gridCol w:w="994"/>
        <w:gridCol w:w="60"/>
        <w:gridCol w:w="60"/>
        <w:gridCol w:w="102"/>
        <w:gridCol w:w="1088"/>
        <w:gridCol w:w="95"/>
        <w:gridCol w:w="60"/>
        <w:gridCol w:w="346"/>
        <w:gridCol w:w="1247"/>
        <w:gridCol w:w="95"/>
        <w:gridCol w:w="60"/>
        <w:gridCol w:w="100"/>
        <w:gridCol w:w="1073"/>
        <w:gridCol w:w="115"/>
      </w:tblGrid>
      <w:tr>
        <w:trPr/>
        <w:tc>
          <w:tcPr>
            <w:tcW w:w="21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7" w:type="dxa"/>
            <w:gridSpan w:val="2"/>
            <w:tcBorders/>
            <w:vAlign w:val="center"/>
          </w:tcPr>
          <w:p>
            <w:pPr>
              <w:pStyle w:val="TableContents"/>
              <w:bidi w:val="0"/>
              <w:spacing w:before="0" w:after="283"/>
              <w:jc w:val="center"/>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bookmarkStart w:id="156" w:name="xdx_4BC_us-gaap--StatementEquityComponen"/>
            <w:bookmarkEnd w:id="156"/>
          </w:p>
        </w:tc>
        <w:tc>
          <w:tcPr>
            <w:tcW w:w="86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w:t>
            </w:r>
          </w:p>
        </w:tc>
        <w:tc>
          <w:tcPr>
            <w:tcW w:w="1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7" w:name="xdx_4BE_us-gaap--StatementEquityComponen"/>
            <w:bookmarkEnd w:id="157"/>
          </w:p>
        </w:tc>
        <w:tc>
          <w:tcPr>
            <w:tcW w:w="110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8" w:name="xdx_4BB_us-gaap--StatementEquityComponen"/>
            <w:bookmarkEnd w:id="158"/>
          </w:p>
        </w:tc>
        <w:tc>
          <w:tcPr>
            <w:tcW w:w="119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9" w:name="xdx_4BD_us-gaap--StatementEquityComponen"/>
            <w:bookmarkEnd w:id="159"/>
          </w:p>
        </w:tc>
        <w:tc>
          <w:tcPr>
            <w:tcW w:w="1593" w:type="dxa"/>
            <w:gridSpan w:val="2"/>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S$’000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0" w:name="xdx_4BE_zcAKrXHJutNe"/>
            <w:bookmarkEnd w:id="160"/>
          </w:p>
        </w:tc>
        <w:tc>
          <w:tcPr>
            <w:tcW w:w="1173"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S$’000</w:t>
            </w:r>
          </w:p>
        </w:tc>
        <w:tc>
          <w:tcPr>
            <w:tcW w:w="115" w:type="dxa"/>
            <w:tcBorders/>
            <w:vAlign w:val="center"/>
          </w:tcPr>
          <w:p>
            <w:pPr>
              <w:pStyle w:val="TableContents"/>
              <w:bidi w:val="0"/>
              <w:spacing w:before="0" w:after="283"/>
              <w:jc w:val="left"/>
              <w:rPr/>
            </w:pPr>
            <w:r>
              <w:rPr/>
              <w:t> </w:t>
            </w:r>
          </w:p>
        </w:tc>
      </w:tr>
      <w:tr>
        <w:trPr/>
        <w:tc>
          <w:tcPr>
            <w:tcW w:w="21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9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Ordinary Shares</w:t>
            </w:r>
          </w:p>
        </w:tc>
        <w:tc>
          <w:tcPr>
            <w:tcW w:w="1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Retained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3" w:type="dxa"/>
            <w:gridSpan w:val="2"/>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r>
      <w:tr>
        <w:trPr/>
        <w:tc>
          <w:tcPr>
            <w:tcW w:w="21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Translation reserve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3"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115" w:type="dxa"/>
            <w:tcBorders/>
            <w:vAlign w:val="center"/>
          </w:tcPr>
          <w:p>
            <w:pPr>
              <w:pStyle w:val="TableContents"/>
              <w:bidi w:val="0"/>
              <w:spacing w:before="0" w:after="283"/>
              <w:jc w:val="left"/>
              <w:rPr/>
            </w:pPr>
            <w:r>
              <w:rPr/>
              <w:t> </w:t>
            </w:r>
          </w:p>
        </w:tc>
      </w:tr>
      <w:tr>
        <w:trPr/>
        <w:tc>
          <w:tcPr>
            <w:tcW w:w="21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7" w:type="dxa"/>
            <w:gridSpan w:val="2"/>
            <w:tcBorders/>
            <w:vAlign w:val="center"/>
          </w:tcPr>
          <w:p>
            <w:pPr>
              <w:pStyle w:val="TableContents"/>
              <w:bidi w:val="0"/>
              <w:spacing w:before="0" w:after="283"/>
              <w:jc w:val="center"/>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S$</w:t>
            </w:r>
          </w:p>
        </w:tc>
        <w:tc>
          <w:tcPr>
            <w:tcW w:w="1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S$’000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3" w:type="dxa"/>
            <w:gridSpan w:val="2"/>
            <w:tcBorders/>
            <w:vAlign w:val="center"/>
          </w:tcPr>
          <w:p>
            <w:pPr>
              <w:pStyle w:val="TableContents"/>
              <w:bidi w:val="0"/>
              <w:spacing w:before="0" w:after="283"/>
              <w:jc w:val="right"/>
              <w:rPr>
                <w:b/>
              </w:rPr>
            </w:pPr>
            <w:r>
              <w:rPr>
                <w:b/>
              </w:rPr>
              <w:t>S$’000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3" w:type="dxa"/>
            <w:gridSpan w:val="2"/>
            <w:tcBorders/>
            <w:vAlign w:val="center"/>
          </w:tcPr>
          <w:p>
            <w:pPr>
              <w:pStyle w:val="TableContents"/>
              <w:bidi w:val="0"/>
              <w:spacing w:before="0" w:after="283"/>
              <w:jc w:val="center"/>
              <w:rPr>
                <w:b/>
              </w:rPr>
            </w:pPr>
            <w:r>
              <w:rPr>
                <w:b/>
              </w:rPr>
              <w:t>S$’000</w:t>
            </w:r>
          </w:p>
        </w:tc>
        <w:tc>
          <w:tcPr>
            <w:tcW w:w="115" w:type="dxa"/>
            <w:tcBorders/>
            <w:vAlign w:val="center"/>
          </w:tcPr>
          <w:p>
            <w:pPr>
              <w:pStyle w:val="TableContents"/>
              <w:bidi w:val="0"/>
              <w:spacing w:before="0" w:after="283"/>
              <w:jc w:val="left"/>
              <w:rPr/>
            </w:pPr>
            <w:r>
              <w:rPr/>
              <w:t> </w:t>
            </w:r>
            <w:bookmarkStart w:id="161" w:name="xdx_437_c20250101__20251231_eus-gaap--St"/>
            <w:bookmarkEnd w:id="161"/>
          </w:p>
        </w:tc>
      </w:tr>
      <w:tr>
        <w:trPr/>
        <w:tc>
          <w:tcPr>
            <w:tcW w:w="2193" w:type="dxa"/>
            <w:tcBorders/>
            <w:shd w:fill="CCEEFF" w:val="clear"/>
            <w:vAlign w:val="center"/>
          </w:tcPr>
          <w:p>
            <w:pPr>
              <w:pStyle w:val="TableContents"/>
              <w:bidi w:val="0"/>
              <w:spacing w:before="0" w:after="283"/>
              <w:jc w:val="left"/>
              <w:rPr>
                <w:b/>
              </w:rPr>
            </w:pPr>
            <w:r>
              <w:rPr>
                <w:b/>
              </w:rPr>
              <w:t>Balance as of January 1, 2025</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bookmarkStart w:id="162" w:name="xdx_984_eus-gaap--SharesOutstanding_iS_p"/>
            <w:bookmarkEnd w:id="162"/>
          </w:p>
        </w:tc>
        <w:tc>
          <w:tcPr>
            <w:tcW w:w="1044" w:type="dxa"/>
            <w:tcBorders/>
            <w:shd w:fill="CCEEFF" w:val="clear"/>
            <w:vAlign w:val="center"/>
          </w:tcPr>
          <w:p>
            <w:pPr>
              <w:pStyle w:val="TableContents"/>
              <w:bidi w:val="0"/>
              <w:spacing w:before="0" w:after="283"/>
              <w:jc w:val="right"/>
              <w:rPr/>
            </w:pPr>
            <w:r>
              <w:rPr/>
              <w:t>33,334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582" w:type="dxa"/>
            <w:tcBorders/>
            <w:shd w:fill="CCEEFF" w:val="clear"/>
            <w:vAlign w:val="center"/>
          </w:tcPr>
          <w:p>
            <w:pPr>
              <w:pStyle w:val="TableContents"/>
              <w:bidi w:val="0"/>
              <w:spacing w:before="0" w:after="283"/>
              <w:jc w:val="right"/>
              <w:rPr/>
            </w:pPr>
            <w:r>
              <w:rPr/>
              <w:t>-</w:t>
            </w:r>
            <w:bookmarkStart w:id="163" w:name="xdx_F22_zihlv7Xa6MEc"/>
            <w:bookmarkEnd w:id="163"/>
            <w:r>
              <w:rPr>
                <w:rFonts w:ascii="Times New Roman;Times;Serif" w:hAnsi="Times New Roman;Times;Serif"/>
                <w:sz w:val="20"/>
              </w:rPr>
              <w:t>**</w:t>
            </w:r>
          </w:p>
        </w:tc>
        <w:tc>
          <w:tcPr>
            <w:tcW w:w="19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15</w:t>
            </w:r>
          </w:p>
        </w:tc>
        <w:tc>
          <w:tcPr>
            <w:tcW w:w="115" w:type="dxa"/>
            <w:tcBorders/>
            <w:shd w:fill="CCEEFF" w:val="clear"/>
            <w:vAlign w:val="center"/>
          </w:tcPr>
          <w:p>
            <w:pPr>
              <w:pStyle w:val="TableContents"/>
              <w:bidi w:val="0"/>
              <w:spacing w:before="0" w:after="283"/>
              <w:jc w:val="left"/>
              <w:rPr/>
            </w:pPr>
            <w:r>
              <w:rPr/>
              <w:t> </w:t>
            </w:r>
            <w:bookmarkStart w:id="164" w:name="xdx_406_eus-gaap--StockIssuedDuringPerio"/>
            <w:bookmarkEnd w:id="164"/>
          </w:p>
        </w:tc>
      </w:tr>
      <w:tr>
        <w:trPr/>
        <w:tc>
          <w:tcPr>
            <w:tcW w:w="2193" w:type="dxa"/>
            <w:tcBorders/>
            <w:shd w:fill="FFFFFF" w:val="clear"/>
            <w:vAlign w:val="center"/>
          </w:tcPr>
          <w:p>
            <w:pPr>
              <w:pStyle w:val="TableContents"/>
              <w:bidi w:val="0"/>
              <w:spacing w:before="0" w:after="283"/>
              <w:jc w:val="left"/>
              <w:rPr/>
            </w:pPr>
            <w:r>
              <w:rPr/>
              <w:t>Share issued during the year</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bookmarkStart w:id="165" w:name="xdx_988_eus-gaap--StockIssuedDuringPerio"/>
            <w:bookmarkEnd w:id="165"/>
          </w:p>
        </w:tc>
        <w:tc>
          <w:tcPr>
            <w:tcW w:w="1044" w:type="dxa"/>
            <w:tcBorders/>
            <w:shd w:fill="FFFFFF" w:val="clear"/>
            <w:vAlign w:val="center"/>
          </w:tcPr>
          <w:p>
            <w:pPr>
              <w:pStyle w:val="TableContents"/>
              <w:bidi w:val="0"/>
              <w:spacing w:before="0" w:after="283"/>
              <w:jc w:val="right"/>
              <w:rPr/>
            </w:pPr>
            <w:r>
              <w:rPr/>
              <w:t>4,444</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pPr>
            <w:r>
              <w:rPr/>
              <w:t>-</w:t>
            </w:r>
          </w:p>
        </w:tc>
        <w:tc>
          <w:tcPr>
            <w:tcW w:w="1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2,126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2,126</w:t>
            </w:r>
          </w:p>
        </w:tc>
        <w:tc>
          <w:tcPr>
            <w:tcW w:w="115" w:type="dxa"/>
            <w:tcBorders/>
            <w:shd w:fill="FFFFFF" w:val="clear"/>
            <w:vAlign w:val="center"/>
          </w:tcPr>
          <w:p>
            <w:pPr>
              <w:pStyle w:val="TableContents"/>
              <w:bidi w:val="0"/>
              <w:spacing w:before="0" w:after="283"/>
              <w:jc w:val="left"/>
              <w:rPr/>
            </w:pPr>
            <w:r>
              <w:rPr/>
              <w:t> </w:t>
            </w:r>
            <w:bookmarkStart w:id="166" w:name="xdx_402_eus-gaap--NetIncomeLoss_zqkILOpM"/>
            <w:bookmarkEnd w:id="166"/>
          </w:p>
        </w:tc>
      </w:tr>
      <w:tr>
        <w:trPr/>
        <w:tc>
          <w:tcPr>
            <w:tcW w:w="2193"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582" w:type="dxa"/>
            <w:tcBorders/>
            <w:shd w:fill="CCEEFF" w:val="clear"/>
            <w:vAlign w:val="center"/>
          </w:tcPr>
          <w:p>
            <w:pPr>
              <w:pStyle w:val="TableContents"/>
              <w:bidi w:val="0"/>
              <w:spacing w:before="0" w:after="283"/>
              <w:jc w:val="right"/>
              <w:rPr/>
            </w:pPr>
            <w:r>
              <w:rPr/>
              <w:t>-</w:t>
            </w:r>
          </w:p>
        </w:tc>
        <w:tc>
          <w:tcPr>
            <w:tcW w:w="1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(1,365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(1,365</w:t>
            </w:r>
          </w:p>
        </w:tc>
        <w:tc>
          <w:tcPr>
            <w:tcW w:w="115" w:type="dxa"/>
            <w:tcBorders/>
            <w:shd w:fill="CCEEFF" w:val="clear"/>
            <w:vAlign w:val="center"/>
          </w:tcPr>
          <w:p>
            <w:pPr>
              <w:pStyle w:val="TableContents"/>
              <w:bidi w:val="0"/>
              <w:spacing w:before="0" w:after="283"/>
              <w:jc w:val="left"/>
              <w:rPr/>
            </w:pPr>
            <w:r>
              <w:rPr/>
              <w:t>)</w:t>
            </w:r>
            <w:bookmarkStart w:id="167" w:name="xdx_408_eus-gaap--OtherComprehensiveInco"/>
            <w:bookmarkEnd w:id="167"/>
          </w:p>
        </w:tc>
      </w:tr>
      <w:tr>
        <w:trPr/>
        <w:tc>
          <w:tcPr>
            <w:tcW w:w="2193" w:type="dxa"/>
            <w:tcBorders/>
            <w:shd w:fill="FFFFFF" w:val="clear"/>
            <w:vAlign w:val="center"/>
          </w:tcPr>
          <w:p>
            <w:pPr>
              <w:pStyle w:val="TableContents"/>
              <w:bidi w:val="0"/>
              <w:spacing w:before="0" w:after="283"/>
              <w:jc w:val="left"/>
              <w:rPr/>
            </w:pPr>
            <w:r>
              <w:rPr/>
              <w:t>Foreign currency translation</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115" w:type="dxa"/>
            <w:tcBorders/>
            <w:shd w:fill="FFFFFF" w:val="clear"/>
            <w:vAlign w:val="center"/>
          </w:tcPr>
          <w:p>
            <w:pPr>
              <w:pStyle w:val="TableContents"/>
              <w:bidi w:val="0"/>
              <w:spacing w:before="0" w:after="283"/>
              <w:jc w:val="left"/>
              <w:rPr/>
            </w:pPr>
            <w:r>
              <w:rPr/>
              <w:t>)</w:t>
            </w:r>
          </w:p>
        </w:tc>
      </w:tr>
      <w:tr>
        <w:trPr/>
        <w:tc>
          <w:tcPr>
            <w:tcW w:w="21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582" w:type="dxa"/>
            <w:tcBorders/>
            <w:shd w:fill="CCEEFF" w:val="clear"/>
            <w:vAlign w:val="center"/>
          </w:tcPr>
          <w:p>
            <w:pPr>
              <w:pStyle w:val="TableContents"/>
              <w:bidi w:val="0"/>
              <w:spacing w:before="0" w:after="283"/>
              <w:jc w:val="right"/>
              <w:rPr/>
            </w:pPr>
            <w:r>
              <w:rPr/>
              <w:t> </w:t>
            </w:r>
          </w:p>
        </w:tc>
        <w:tc>
          <w:tcPr>
            <w:tcW w:w="1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68" w:name="xdx_43D_c20250101__20251231_eus-gaap--St"/>
            <w:bookmarkEnd w:id="168"/>
          </w:p>
        </w:tc>
      </w:tr>
      <w:tr>
        <w:trPr/>
        <w:tc>
          <w:tcPr>
            <w:tcW w:w="2193" w:type="dxa"/>
            <w:tcBorders/>
            <w:shd w:fill="FFFFFF" w:val="clear"/>
            <w:vAlign w:val="center"/>
          </w:tcPr>
          <w:p>
            <w:pPr>
              <w:pStyle w:val="TableContents"/>
              <w:bidi w:val="0"/>
              <w:spacing w:before="0" w:after="283"/>
              <w:jc w:val="left"/>
              <w:rPr>
                <w:b/>
              </w:rPr>
            </w:pPr>
            <w:r>
              <w:rPr>
                <w:b/>
              </w:rPr>
              <w:t>Balance as of December 31, 2025</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69" w:name="xdx_98A_eus-gaap--SharesOutstanding_iE_p"/>
            <w:bookmarkEnd w:id="169"/>
          </w:p>
        </w:tc>
        <w:tc>
          <w:tcPr>
            <w:tcW w:w="1044" w:type="dxa"/>
            <w:tcBorders>
              <w:bottom w:val="single" w:sz="8" w:space="0" w:color="000000"/>
            </w:tcBorders>
            <w:shd w:fill="FFFFFF" w:val="clear"/>
            <w:tcMar>
              <w:bottom w:w="28" w:type="dxa"/>
            </w:tcMar>
            <w:vAlign w:val="center"/>
          </w:tcPr>
          <w:p>
            <w:pPr>
              <w:pStyle w:val="TableContents"/>
              <w:bidi w:val="0"/>
              <w:spacing w:before="0" w:after="283"/>
              <w:jc w:val="right"/>
              <w:rPr/>
            </w:pPr>
            <w:r>
              <w:rPr/>
              <w:t>37,778</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bookmarkStart w:id="170" w:name="xdx_F2E_zhYjqeOfyuL1"/>
            <w:bookmarkEnd w:id="170"/>
            <w:r>
              <w:rPr>
                <w:rFonts w:ascii="Times New Roman;Times;Serif" w:hAnsi="Times New Roman;Times;Serif"/>
                <w:sz w:val="20"/>
              </w:rPr>
              <w:t>**</w:t>
            </w:r>
          </w:p>
        </w:tc>
        <w:tc>
          <w:tcPr>
            <w:tcW w:w="19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4" w:type="dxa"/>
            <w:tcBorders>
              <w:bottom w:val="single" w:sz="8" w:space="0" w:color="000000"/>
            </w:tcBorders>
            <w:shd w:fill="FFFFFF" w:val="clear"/>
            <w:tcMar>
              <w:bottom w:w="28" w:type="dxa"/>
            </w:tcMar>
            <w:vAlign w:val="center"/>
          </w:tcPr>
          <w:p>
            <w:pPr>
              <w:pStyle w:val="TableContents"/>
              <w:bidi w:val="0"/>
              <w:spacing w:before="0" w:after="283"/>
              <w:jc w:val="right"/>
              <w:rPr/>
            </w:pPr>
            <w:r>
              <w:rPr/>
              <w:t>2,137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8" w:type="dxa"/>
            <w:tcBorders>
              <w:bottom w:val="single" w:sz="8" w:space="0" w:color="000000"/>
            </w:tcBorders>
            <w:shd w:fill="FFFFFF" w:val="clear"/>
            <w:tcMar>
              <w:bottom w:w="28" w:type="dxa"/>
            </w:tcMar>
            <w:vAlign w:val="center"/>
          </w:tcPr>
          <w:p>
            <w:pPr>
              <w:pStyle w:val="TableContents"/>
              <w:bidi w:val="0"/>
              <w:spacing w:before="0" w:after="283"/>
              <w:jc w:val="right"/>
              <w:rPr/>
            </w:pPr>
            <w:r>
              <w:rPr/>
              <w:t>(1,361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FFFFFF" w:val="clear"/>
            <w:tcMar>
              <w:bottom w:w="28" w:type="dxa"/>
            </w:tcMar>
            <w:vAlign w:val="center"/>
          </w:tcPr>
          <w:p>
            <w:pPr>
              <w:pStyle w:val="TableContents"/>
              <w:bidi w:val="0"/>
              <w:spacing w:before="0" w:after="283"/>
              <w:jc w:val="right"/>
              <w:rPr/>
            </w:pPr>
            <w:r>
              <w:rPr/>
              <w:t>769</w:t>
            </w:r>
          </w:p>
        </w:tc>
        <w:tc>
          <w:tcPr>
            <w:tcW w:w="115" w:type="dxa"/>
            <w:tcBorders/>
            <w:shd w:fill="FFFFFF" w:val="clear"/>
            <w:vAlign w:val="center"/>
          </w:tcPr>
          <w:p>
            <w:pPr>
              <w:pStyle w:val="TableContents"/>
              <w:bidi w:val="0"/>
              <w:spacing w:before="0" w:after="283"/>
              <w:jc w:val="left"/>
              <w:rPr/>
            </w:pPr>
            <w:r>
              <w:rPr/>
              <w:t> </w:t>
            </w:r>
          </w:p>
        </w:tc>
      </w:tr>
      <w:tr>
        <w:trPr/>
        <w:tc>
          <w:tcPr>
            <w:tcW w:w="21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582" w:type="dxa"/>
            <w:tcBorders/>
            <w:shd w:fill="CCEEFF" w:val="clear"/>
            <w:vAlign w:val="center"/>
          </w:tcPr>
          <w:p>
            <w:pPr>
              <w:pStyle w:val="TableContents"/>
              <w:bidi w:val="0"/>
              <w:spacing w:before="0" w:after="283"/>
              <w:jc w:val="right"/>
              <w:rPr/>
            </w:pPr>
            <w:r>
              <w:rPr/>
              <w:t> </w:t>
            </w:r>
          </w:p>
        </w:tc>
        <w:tc>
          <w:tcPr>
            <w:tcW w:w="1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71" w:name="xdx_43D_c20260101__20260630_eus-gaap--St"/>
            <w:bookmarkEnd w:id="171"/>
          </w:p>
        </w:tc>
      </w:tr>
      <w:tr>
        <w:trPr/>
        <w:tc>
          <w:tcPr>
            <w:tcW w:w="2193" w:type="dxa"/>
            <w:tcBorders/>
            <w:shd w:fill="FFFFFF" w:val="clear"/>
            <w:vAlign w:val="center"/>
          </w:tcPr>
          <w:p>
            <w:pPr>
              <w:pStyle w:val="TableContents"/>
              <w:bidi w:val="0"/>
              <w:spacing w:before="0" w:after="283"/>
              <w:jc w:val="left"/>
              <w:rPr>
                <w:b/>
              </w:rPr>
            </w:pPr>
            <w:r>
              <w:rPr>
                <w:b/>
              </w:rPr>
              <w:t>Balance as of January 1, 2026</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bookmarkStart w:id="172" w:name="xdx_98D_eus-gaap--SharesOutstanding_iS_p"/>
            <w:bookmarkEnd w:id="172"/>
          </w:p>
        </w:tc>
        <w:tc>
          <w:tcPr>
            <w:tcW w:w="1044" w:type="dxa"/>
            <w:tcBorders/>
            <w:shd w:fill="FFFFFF" w:val="clear"/>
            <w:vAlign w:val="center"/>
          </w:tcPr>
          <w:p>
            <w:pPr>
              <w:pStyle w:val="TableContents"/>
              <w:bidi w:val="0"/>
              <w:spacing w:before="0" w:after="283"/>
              <w:jc w:val="right"/>
              <w:rPr/>
            </w:pPr>
            <w:r>
              <w:rPr/>
              <w:t>37,778</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pPr>
            <w:r>
              <w:rPr/>
              <w:t>-</w:t>
            </w:r>
            <w:bookmarkStart w:id="173" w:name="xdx_F29_zQFzIuNigaS8"/>
            <w:bookmarkEnd w:id="173"/>
            <w:r>
              <w:rPr>
                <w:rFonts w:ascii="Times New Roman;Times;Serif" w:hAnsi="Times New Roman;Times;Serif"/>
                <w:sz w:val="20"/>
              </w:rPr>
              <w:t>**</w:t>
            </w:r>
          </w:p>
        </w:tc>
        <w:tc>
          <w:tcPr>
            <w:tcW w:w="19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2,137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pPr>
            <w:r>
              <w:rPr/>
              <w:t>(1,361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769</w:t>
            </w:r>
          </w:p>
        </w:tc>
        <w:tc>
          <w:tcPr>
            <w:tcW w:w="115" w:type="dxa"/>
            <w:tcBorders/>
            <w:shd w:fill="FFFFFF" w:val="clear"/>
            <w:vAlign w:val="center"/>
          </w:tcPr>
          <w:p>
            <w:pPr>
              <w:pStyle w:val="TableContents"/>
              <w:bidi w:val="0"/>
              <w:spacing w:before="0" w:after="283"/>
              <w:jc w:val="left"/>
              <w:rPr/>
            </w:pPr>
            <w:r>
              <w:rPr/>
              <w:t> </w:t>
            </w:r>
            <w:bookmarkStart w:id="174" w:name="xdx_401_eus-gaap--StockIssuedDuringPerio"/>
            <w:bookmarkEnd w:id="174"/>
          </w:p>
        </w:tc>
      </w:tr>
      <w:tr>
        <w:trPr/>
        <w:tc>
          <w:tcPr>
            <w:tcW w:w="2193" w:type="dxa"/>
            <w:tcBorders/>
            <w:shd w:fill="CCEEFF" w:val="clear"/>
            <w:vAlign w:val="center"/>
          </w:tcPr>
          <w:p>
            <w:pPr>
              <w:pStyle w:val="TableContents"/>
              <w:bidi w:val="0"/>
              <w:spacing w:before="0" w:after="283"/>
              <w:jc w:val="left"/>
              <w:rPr/>
            </w:pPr>
            <w:r>
              <w:rPr/>
              <w:t>Share issued during the year</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bookmarkStart w:id="175" w:name="xdx_983_eus-gaap--StockIssuedDuringPerio"/>
            <w:bookmarkEnd w:id="175"/>
          </w:p>
        </w:tc>
        <w:tc>
          <w:tcPr>
            <w:tcW w:w="1044" w:type="dxa"/>
            <w:tcBorders/>
            <w:shd w:fill="CCEEFF" w:val="clear"/>
            <w:vAlign w:val="center"/>
          </w:tcPr>
          <w:p>
            <w:pPr>
              <w:pStyle w:val="TableContents"/>
              <w:bidi w:val="0"/>
              <w:spacing w:before="0" w:after="283"/>
              <w:jc w:val="right"/>
              <w:rPr/>
            </w:pPr>
            <w:r>
              <w:rPr/>
              <w:t>1,280,964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582" w:type="dxa"/>
            <w:tcBorders/>
            <w:shd w:fill="CCEEFF" w:val="clear"/>
            <w:vAlign w:val="center"/>
          </w:tcPr>
          <w:p>
            <w:pPr>
              <w:pStyle w:val="TableContents"/>
              <w:bidi w:val="0"/>
              <w:spacing w:before="0" w:after="283"/>
              <w:jc w:val="right"/>
              <w:rPr/>
            </w:pPr>
            <w:r>
              <w:rPr/>
              <w:t>-</w:t>
            </w:r>
          </w:p>
        </w:tc>
        <w:tc>
          <w:tcPr>
            <w:tcW w:w="1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5,377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5,377</w:t>
            </w:r>
          </w:p>
        </w:tc>
        <w:tc>
          <w:tcPr>
            <w:tcW w:w="115" w:type="dxa"/>
            <w:tcBorders/>
            <w:shd w:fill="CCEEFF" w:val="clear"/>
            <w:vAlign w:val="center"/>
          </w:tcPr>
          <w:p>
            <w:pPr>
              <w:pStyle w:val="TableContents"/>
              <w:bidi w:val="0"/>
              <w:spacing w:before="0" w:after="283"/>
              <w:jc w:val="left"/>
              <w:rPr/>
            </w:pPr>
            <w:r>
              <w:rPr/>
              <w:t> </w:t>
            </w:r>
            <w:bookmarkStart w:id="176" w:name="xdx_40C_eus-gaap--NetIncomeLoss_zJrNrCVG"/>
            <w:bookmarkEnd w:id="176"/>
          </w:p>
        </w:tc>
      </w:tr>
      <w:tr>
        <w:trPr/>
        <w:tc>
          <w:tcPr>
            <w:tcW w:w="2193"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pPr>
            <w:r>
              <w:rPr/>
              <w:t>-</w:t>
            </w:r>
          </w:p>
        </w:tc>
        <w:tc>
          <w:tcPr>
            <w:tcW w:w="1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pPr>
            <w:r>
              <w:rPr/>
              <w:t>(3,385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(3,385</w:t>
            </w:r>
          </w:p>
        </w:tc>
        <w:tc>
          <w:tcPr>
            <w:tcW w:w="115" w:type="dxa"/>
            <w:tcBorders/>
            <w:shd w:fill="FFFFFF" w:val="clear"/>
            <w:vAlign w:val="center"/>
          </w:tcPr>
          <w:p>
            <w:pPr>
              <w:pStyle w:val="TableContents"/>
              <w:bidi w:val="0"/>
              <w:spacing w:before="0" w:after="283"/>
              <w:jc w:val="left"/>
              <w:rPr/>
            </w:pPr>
            <w:r>
              <w:rPr/>
              <w:t>)</w:t>
            </w:r>
            <w:bookmarkStart w:id="177" w:name="xdx_405_eus-gaap--OtherComprehensiveInco"/>
            <w:bookmarkEnd w:id="177"/>
          </w:p>
        </w:tc>
      </w:tr>
      <w:tr>
        <w:trPr/>
        <w:tc>
          <w:tcPr>
            <w:tcW w:w="2193" w:type="dxa"/>
            <w:tcBorders/>
            <w:shd w:fill="CCEEFF" w:val="clear"/>
            <w:vAlign w:val="center"/>
          </w:tcPr>
          <w:p>
            <w:pPr>
              <w:pStyle w:val="TableContents"/>
              <w:bidi w:val="0"/>
              <w:spacing w:before="0" w:after="283"/>
              <w:jc w:val="left"/>
              <w:rPr/>
            </w:pPr>
            <w:r>
              <w:rPr/>
              <w:t>Foreign currency translation</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8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CCEEFF" w:val="clear"/>
            <w:tcMar>
              <w:bottom w:w="28" w:type="dxa"/>
            </w:tcMar>
            <w:vAlign w:val="center"/>
          </w:tcPr>
          <w:p>
            <w:pPr>
              <w:pStyle w:val="TableContents"/>
              <w:bidi w:val="0"/>
              <w:spacing w:before="0" w:after="283"/>
              <w:jc w:val="right"/>
              <w:rPr/>
            </w:pPr>
            <w:r>
              <w:rPr/>
              <w:t>5</w:t>
            </w:r>
          </w:p>
        </w:tc>
        <w:tc>
          <w:tcPr>
            <w:tcW w:w="115" w:type="dxa"/>
            <w:tcBorders/>
            <w:shd w:fill="CCEEFF" w:val="clear"/>
            <w:vAlign w:val="center"/>
          </w:tcPr>
          <w:p>
            <w:pPr>
              <w:pStyle w:val="TableContents"/>
              <w:bidi w:val="0"/>
              <w:spacing w:before="0" w:after="283"/>
              <w:jc w:val="left"/>
              <w:rPr/>
            </w:pPr>
            <w:r>
              <w:rPr/>
              <w:t> </w:t>
            </w:r>
            <w:bookmarkStart w:id="178" w:name="xdx_430_c20260101__20260630_eus-gaap--St"/>
            <w:bookmarkEnd w:id="178"/>
          </w:p>
        </w:tc>
      </w:tr>
      <w:tr>
        <w:trPr/>
        <w:tc>
          <w:tcPr>
            <w:tcW w:w="2193" w:type="dxa"/>
            <w:tcBorders/>
            <w:shd w:fill="FFFFFF" w:val="clear"/>
            <w:vAlign w:val="center"/>
          </w:tcPr>
          <w:p>
            <w:pPr>
              <w:pStyle w:val="TableContents"/>
              <w:bidi w:val="0"/>
              <w:spacing w:before="0" w:after="283"/>
              <w:jc w:val="left"/>
              <w:rPr>
                <w:b/>
              </w:rPr>
            </w:pPr>
            <w:r>
              <w:rPr>
                <w:b/>
              </w:rPr>
              <w:t>Balance as at June 30, 2026</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79" w:name="xdx_987_eus-gaap--SharesOutstanding_iE_p"/>
            <w:bookmarkEnd w:id="179"/>
          </w:p>
        </w:tc>
        <w:tc>
          <w:tcPr>
            <w:tcW w:w="1044" w:type="dxa"/>
            <w:tcBorders>
              <w:bottom w:val="single" w:sz="8" w:space="0" w:color="000000"/>
            </w:tcBorders>
            <w:shd w:fill="FFFFFF" w:val="clear"/>
            <w:tcMar>
              <w:bottom w:w="28" w:type="dxa"/>
            </w:tcMar>
            <w:vAlign w:val="center"/>
          </w:tcPr>
          <w:p>
            <w:pPr>
              <w:pStyle w:val="TableContents"/>
              <w:bidi w:val="0"/>
              <w:spacing w:before="0" w:after="283"/>
              <w:jc w:val="right"/>
              <w:rPr/>
            </w:pPr>
            <w:r>
              <w:rPr/>
              <w:t>1,318,742</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bookmarkStart w:id="180" w:name="xdx_F2D_zHtpk9KXIGsg"/>
            <w:bookmarkEnd w:id="180"/>
            <w:r>
              <w:rPr>
                <w:rFonts w:ascii="Times New Roman;Times;Serif" w:hAnsi="Times New Roman;Times;Serif"/>
                <w:sz w:val="20"/>
              </w:rPr>
              <w:t>**</w:t>
            </w:r>
          </w:p>
        </w:tc>
        <w:tc>
          <w:tcPr>
            <w:tcW w:w="19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4" w:type="dxa"/>
            <w:tcBorders>
              <w:bottom w:val="single" w:sz="8" w:space="0" w:color="000000"/>
            </w:tcBorders>
            <w:shd w:fill="FFFFFF" w:val="clear"/>
            <w:tcMar>
              <w:bottom w:w="28" w:type="dxa"/>
            </w:tcMar>
            <w:vAlign w:val="center"/>
          </w:tcPr>
          <w:p>
            <w:pPr>
              <w:pStyle w:val="TableContents"/>
              <w:bidi w:val="0"/>
              <w:spacing w:before="0" w:after="283"/>
              <w:jc w:val="right"/>
              <w:rPr/>
            </w:pPr>
            <w:r>
              <w:rPr/>
              <w:t>7,514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8" w:type="dxa"/>
            <w:tcBorders>
              <w:bottom w:val="single" w:sz="8" w:space="0" w:color="000000"/>
            </w:tcBorders>
            <w:shd w:fill="FFFFFF" w:val="clear"/>
            <w:tcMar>
              <w:bottom w:w="28" w:type="dxa"/>
            </w:tcMar>
            <w:vAlign w:val="center"/>
          </w:tcPr>
          <w:p>
            <w:pPr>
              <w:pStyle w:val="TableContents"/>
              <w:bidi w:val="0"/>
              <w:spacing w:before="0" w:after="283"/>
              <w:jc w:val="right"/>
              <w:rPr/>
            </w:pPr>
            <w:r>
              <w:rPr/>
              <w:t>(4,746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FFFFFF" w:val="clear"/>
            <w:tcMar>
              <w:bottom w:w="28" w:type="dxa"/>
            </w:tcMar>
            <w:vAlign w:val="center"/>
          </w:tcPr>
          <w:p>
            <w:pPr>
              <w:pStyle w:val="TableContents"/>
              <w:bidi w:val="0"/>
              <w:spacing w:before="0" w:after="283"/>
              <w:jc w:val="right"/>
              <w:rPr/>
            </w:pPr>
            <w:r>
              <w:rPr/>
              <w:t>2,766</w:t>
            </w:r>
          </w:p>
        </w:tc>
        <w:tc>
          <w:tcPr>
            <w:tcW w:w="11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2"/>
        <w:gridCol w:w="60"/>
        <w:gridCol w:w="64"/>
        <w:gridCol w:w="1045"/>
        <w:gridCol w:w="64"/>
        <w:gridCol w:w="64"/>
        <w:gridCol w:w="278"/>
        <w:gridCol w:w="582"/>
        <w:gridCol w:w="200"/>
        <w:gridCol w:w="60"/>
        <w:gridCol w:w="106"/>
        <w:gridCol w:w="994"/>
        <w:gridCol w:w="60"/>
        <w:gridCol w:w="60"/>
        <w:gridCol w:w="158"/>
        <w:gridCol w:w="1685"/>
        <w:gridCol w:w="95"/>
        <w:gridCol w:w="60"/>
        <w:gridCol w:w="235"/>
        <w:gridCol w:w="850"/>
        <w:gridCol w:w="95"/>
        <w:gridCol w:w="60"/>
        <w:gridCol w:w="100"/>
        <w:gridCol w:w="1074"/>
        <w:gridCol w:w="114"/>
      </w:tblGrid>
      <w:tr>
        <w:trPr/>
        <w:tc>
          <w:tcPr>
            <w:tcW w:w="204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9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Ordinary Shares</w:t>
            </w:r>
          </w:p>
        </w:tc>
        <w:tc>
          <w:tcPr>
            <w:tcW w:w="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3"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Retained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pPr>
            <w:r>
              <w:rPr/>
              <w:t> </w:t>
            </w:r>
          </w:p>
        </w:tc>
        <w:tc>
          <w:tcPr>
            <w:tcW w:w="114" w:type="dxa"/>
            <w:tcBorders/>
            <w:vAlign w:val="center"/>
          </w:tcPr>
          <w:p>
            <w:pPr>
              <w:pStyle w:val="TableContents"/>
              <w:bidi w:val="0"/>
              <w:spacing w:before="0" w:after="283"/>
              <w:jc w:val="left"/>
              <w:rPr/>
            </w:pPr>
            <w:r>
              <w:rPr/>
              <w:t> </w:t>
            </w:r>
          </w:p>
        </w:tc>
      </w:tr>
      <w:tr>
        <w:trPr/>
        <w:tc>
          <w:tcPr>
            <w:tcW w:w="204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9" w:type="dxa"/>
            <w:gridSpan w:val="2"/>
            <w:tcBorders>
              <w:bottom w:val="single" w:sz="8" w:space="0" w:color="000000"/>
            </w:tcBorders>
            <w:tcMar>
              <w:bottom w:w="28" w:type="dxa"/>
            </w:tcMar>
            <w:vAlign w:val="center"/>
          </w:tcPr>
          <w:p>
            <w:pPr>
              <w:pStyle w:val="TableContents"/>
              <w:bidi w:val="0"/>
              <w:jc w:val="center"/>
              <w:rPr>
                <w:b/>
              </w:rPr>
            </w:pPr>
            <w:r>
              <w:rPr>
                <w:b/>
              </w:rPr>
              <w:t>Number of</w:t>
            </w:r>
          </w:p>
          <w:p>
            <w:pPr>
              <w:pStyle w:val="TableContents"/>
              <w:bidi w:val="0"/>
              <w:spacing w:before="0" w:after="283"/>
              <w:jc w:val="center"/>
              <w:rPr>
                <w:b/>
              </w:rPr>
            </w:pPr>
            <w:r>
              <w:rPr>
                <w:b/>
              </w:rPr>
              <w:t>Shares*</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8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(Accumulated 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Forex reserve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114" w:type="dxa"/>
            <w:tcBorders/>
            <w:vAlign w:val="center"/>
          </w:tcPr>
          <w:p>
            <w:pPr>
              <w:pStyle w:val="TableContents"/>
              <w:bidi w:val="0"/>
              <w:spacing w:before="0" w:after="283"/>
              <w:jc w:val="left"/>
              <w:rPr/>
            </w:pPr>
            <w:r>
              <w:rPr/>
              <w:t> </w:t>
            </w:r>
          </w:p>
        </w:tc>
      </w:tr>
      <w:tr>
        <w:trPr/>
        <w:tc>
          <w:tcPr>
            <w:tcW w:w="204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9" w:type="dxa"/>
            <w:gridSpan w:val="2"/>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US$</w:t>
            </w:r>
          </w:p>
        </w:tc>
        <w:tc>
          <w:tcPr>
            <w:tcW w:w="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3" w:type="dxa"/>
            <w:gridSpan w:val="2"/>
            <w:tcBorders/>
            <w:vAlign w:val="center"/>
          </w:tcPr>
          <w:p>
            <w:pPr>
              <w:pStyle w:val="TableContents"/>
              <w:bidi w:val="0"/>
              <w:spacing w:before="0" w:after="283"/>
              <w:jc w:val="center"/>
              <w:rPr>
                <w:b/>
              </w:rPr>
            </w:pPr>
            <w:r>
              <w:rPr>
                <w:b/>
              </w:rPr>
              <w:t>US$’000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b/>
              </w:rPr>
            </w:pPr>
            <w:r>
              <w:rPr>
                <w:b/>
              </w:rPr>
              <w:t>US$’000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b/>
              </w:rPr>
            </w:pPr>
            <w:r>
              <w:rPr>
                <w:b/>
              </w:rPr>
              <w:t>US$’000</w:t>
            </w:r>
          </w:p>
        </w:tc>
        <w:tc>
          <w:tcPr>
            <w:tcW w:w="114" w:type="dxa"/>
            <w:tcBorders/>
            <w:vAlign w:val="center"/>
          </w:tcPr>
          <w:p>
            <w:pPr>
              <w:pStyle w:val="TableContents"/>
              <w:bidi w:val="0"/>
              <w:spacing w:before="0" w:after="283"/>
              <w:jc w:val="left"/>
              <w:rPr/>
            </w:pPr>
            <w:r>
              <w:rPr/>
              <w:t> </w:t>
            </w:r>
            <w:bookmarkStart w:id="181" w:name="xdx_43E_c20260101__20260630_eus-gaap--St"/>
            <w:bookmarkEnd w:id="181"/>
          </w:p>
        </w:tc>
      </w:tr>
      <w:tr>
        <w:trPr/>
        <w:tc>
          <w:tcPr>
            <w:tcW w:w="2042" w:type="dxa"/>
            <w:tcBorders/>
            <w:shd w:fill="CCEEFF" w:val="clear"/>
            <w:vAlign w:val="center"/>
          </w:tcPr>
          <w:p>
            <w:pPr>
              <w:pStyle w:val="TableContents"/>
              <w:bidi w:val="0"/>
              <w:spacing w:before="0" w:after="283"/>
              <w:jc w:val="both"/>
              <w:rPr>
                <w:b/>
              </w:rPr>
            </w:pPr>
            <w:r>
              <w:rPr>
                <w:b/>
              </w:rPr>
              <w:t>Balance as of January 1, 2026</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182" w:name="xdx_98B_eus-gaap--SharesOutstanding_iS_p"/>
            <w:bookmarkEnd w:id="182"/>
          </w:p>
        </w:tc>
        <w:tc>
          <w:tcPr>
            <w:tcW w:w="1045" w:type="dxa"/>
            <w:tcBorders/>
            <w:shd w:fill="CCEEFF" w:val="clear"/>
            <w:vAlign w:val="center"/>
          </w:tcPr>
          <w:p>
            <w:pPr>
              <w:pStyle w:val="TableContents"/>
              <w:bidi w:val="0"/>
              <w:spacing w:before="0" w:after="283"/>
              <w:jc w:val="right"/>
              <w:rPr/>
            </w:pPr>
            <w:r>
              <w:rPr/>
              <w:t>37,778</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582" w:type="dxa"/>
            <w:tcBorders/>
            <w:shd w:fill="CCEEFF" w:val="clear"/>
            <w:vAlign w:val="center"/>
          </w:tcPr>
          <w:p>
            <w:pPr>
              <w:pStyle w:val="TableContents"/>
              <w:bidi w:val="0"/>
              <w:spacing w:before="0" w:after="283"/>
              <w:jc w:val="right"/>
              <w:rPr/>
            </w:pPr>
            <w:r>
              <w:rPr/>
              <w:t>-</w:t>
            </w:r>
            <w:bookmarkStart w:id="183" w:name="xdx_F29_zAzKIS8whZKj"/>
            <w:bookmarkEnd w:id="183"/>
            <w:r>
              <w:rPr>
                <w:rFonts w:ascii="Times New Roman;Times;Serif" w:hAnsi="Times New Roman;Times;Serif"/>
                <w:sz w:val="20"/>
              </w:rPr>
              <w:t>**</w:t>
            </w:r>
          </w:p>
        </w:tc>
        <w:tc>
          <w:tcPr>
            <w:tcW w:w="20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1,664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right"/>
              <w:rPr/>
            </w:pPr>
            <w:r>
              <w:rPr/>
              <w:t>(1,060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598</w:t>
            </w:r>
          </w:p>
        </w:tc>
        <w:tc>
          <w:tcPr>
            <w:tcW w:w="114" w:type="dxa"/>
            <w:tcBorders/>
            <w:shd w:fill="CCEEFF" w:val="clear"/>
            <w:vAlign w:val="center"/>
          </w:tcPr>
          <w:p>
            <w:pPr>
              <w:pStyle w:val="TableContents"/>
              <w:bidi w:val="0"/>
              <w:spacing w:before="0" w:after="283"/>
              <w:jc w:val="left"/>
              <w:rPr/>
            </w:pPr>
            <w:r>
              <w:rPr/>
              <w:t> </w:t>
            </w:r>
            <w:bookmarkStart w:id="184" w:name="xdx_43B_c20260101__20260630_eus-gaap--St"/>
            <w:bookmarkEnd w:id="184"/>
          </w:p>
        </w:tc>
      </w:tr>
      <w:tr>
        <w:trPr/>
        <w:tc>
          <w:tcPr>
            <w:tcW w:w="2042"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Balance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185" w:name="xdx_983_eus-gaap--SharesOutstanding_iS_p"/>
            <w:bookmarkEnd w:id="185"/>
          </w:p>
        </w:tc>
        <w:tc>
          <w:tcPr>
            <w:tcW w:w="10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37,778</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582" w:type="dxa"/>
            <w:tcBorders/>
            <w:shd w:fill="CCEEFF" w:val="clear"/>
            <w:vAlign w:val="center"/>
          </w:tcPr>
          <w:p>
            <w:pPr>
              <w:pStyle w:val="TableContents"/>
              <w:bidi w:val="0"/>
              <w:spacing w:before="0" w:after="283"/>
              <w:jc w:val="right"/>
              <w:rPr>
                <w:rFonts w:ascii="Times New Roman;Times;Serif" w:hAnsi="Times New Roman;Times;Serif"/>
                <w:sz w:val="20"/>
              </w:rPr>
            </w:pPr>
            <w:bookmarkStart w:id="186" w:name="xdx_F21_zer5UM3wn395"/>
            <w:bookmarkEnd w:id="186"/>
            <w:r>
              <w:rPr>
                <w:rFonts w:ascii="Times New Roman;Times;Serif" w:hAnsi="Times New Roman;Times;Serif"/>
                <w:sz w:val="20"/>
              </w:rPr>
              <w:t>-**</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(1,060</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598</w:t>
            </w:r>
          </w:p>
        </w:tc>
        <w:tc>
          <w:tcPr>
            <w:tcW w:w="114" w:type="dxa"/>
            <w:tcBorders/>
            <w:shd w:fill="CCEEFF" w:val="clear"/>
            <w:vAlign w:val="center"/>
          </w:tcPr>
          <w:p>
            <w:pPr>
              <w:pStyle w:val="TableContents"/>
              <w:bidi w:val="0"/>
              <w:spacing w:before="0" w:after="283"/>
              <w:jc w:val="left"/>
              <w:rPr/>
            </w:pPr>
            <w:r>
              <w:rPr/>
              <w:t> </w:t>
            </w:r>
            <w:bookmarkStart w:id="187" w:name="xdx_409_eus-gaap--StockIssuedDuringPerio"/>
            <w:bookmarkEnd w:id="187"/>
          </w:p>
        </w:tc>
      </w:tr>
      <w:tr>
        <w:trPr/>
        <w:tc>
          <w:tcPr>
            <w:tcW w:w="2042" w:type="dxa"/>
            <w:tcBorders/>
            <w:shd w:fill="FFFFFF" w:val="clear"/>
            <w:vAlign w:val="center"/>
          </w:tcPr>
          <w:p>
            <w:pPr>
              <w:pStyle w:val="TableContents"/>
              <w:bidi w:val="0"/>
              <w:spacing w:before="0" w:after="283"/>
              <w:jc w:val="both"/>
              <w:rPr/>
            </w:pPr>
            <w:r>
              <w:rPr/>
              <w:t>Share issued during the year</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bookmarkStart w:id="188" w:name="xdx_985_eus-gaap--StockIssuedDuringPerio"/>
            <w:bookmarkEnd w:id="188"/>
          </w:p>
        </w:tc>
        <w:tc>
          <w:tcPr>
            <w:tcW w:w="1045" w:type="dxa"/>
            <w:tcBorders/>
            <w:shd w:fill="FFFFFF" w:val="clear"/>
            <w:vAlign w:val="center"/>
          </w:tcPr>
          <w:p>
            <w:pPr>
              <w:pStyle w:val="TableContents"/>
              <w:bidi w:val="0"/>
              <w:spacing w:before="0" w:after="283"/>
              <w:jc w:val="right"/>
              <w:rPr/>
            </w:pPr>
            <w:r>
              <w:rPr/>
              <w:t>1,280,964</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pPr>
            <w:r>
              <w:rPr/>
              <w:t>-</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4,141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6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4,141</w:t>
            </w:r>
          </w:p>
        </w:tc>
        <w:tc>
          <w:tcPr>
            <w:tcW w:w="114" w:type="dxa"/>
            <w:tcBorders/>
            <w:shd w:fill="FFFFFF" w:val="clear"/>
            <w:vAlign w:val="center"/>
          </w:tcPr>
          <w:p>
            <w:pPr>
              <w:pStyle w:val="TableContents"/>
              <w:bidi w:val="0"/>
              <w:spacing w:before="0" w:after="283"/>
              <w:jc w:val="left"/>
              <w:rPr/>
            </w:pPr>
            <w:r>
              <w:rPr/>
              <w:t> </w:t>
            </w:r>
            <w:bookmarkStart w:id="189" w:name="xdx_40A_eus-gaap--NetIncomeLoss_uUSD_zHk"/>
            <w:bookmarkEnd w:id="189"/>
          </w:p>
        </w:tc>
      </w:tr>
      <w:tr>
        <w:trPr/>
        <w:tc>
          <w:tcPr>
            <w:tcW w:w="2042" w:type="dxa"/>
            <w:tcBorders/>
            <w:shd w:fill="CCEEFF" w:val="clear"/>
            <w:vAlign w:val="center"/>
          </w:tcPr>
          <w:p>
            <w:pPr>
              <w:pStyle w:val="TableContents"/>
              <w:bidi w:val="0"/>
              <w:spacing w:before="0" w:after="283"/>
              <w:jc w:val="both"/>
              <w:rPr/>
            </w:pPr>
            <w:r>
              <w:rPr/>
              <w:t>Net loss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582" w:type="dxa"/>
            <w:tcBorders/>
            <w:shd w:fill="CCEEFF" w:val="clear"/>
            <w:vAlign w:val="center"/>
          </w:tcPr>
          <w:p>
            <w:pPr>
              <w:pStyle w:val="TableContents"/>
              <w:bidi w:val="0"/>
              <w:spacing w:before="0" w:after="283"/>
              <w:jc w:val="right"/>
              <w:rPr/>
            </w:pPr>
            <w:r>
              <w:rPr/>
              <w:t>-</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right"/>
              <w:rPr/>
            </w:pPr>
            <w:r>
              <w:rPr/>
              <w:t>(2,615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(2,615</w:t>
            </w:r>
          </w:p>
        </w:tc>
        <w:tc>
          <w:tcPr>
            <w:tcW w:w="114" w:type="dxa"/>
            <w:tcBorders/>
            <w:shd w:fill="CCEEFF" w:val="clear"/>
            <w:vAlign w:val="center"/>
          </w:tcPr>
          <w:p>
            <w:pPr>
              <w:pStyle w:val="TableContents"/>
              <w:bidi w:val="0"/>
              <w:spacing w:before="0" w:after="283"/>
              <w:jc w:val="left"/>
              <w:rPr/>
            </w:pPr>
            <w:r>
              <w:rPr/>
              <w:t>)</w:t>
            </w:r>
            <w:bookmarkStart w:id="190" w:name="xdx_404_eus-gaap--OtherComprehensiveInco"/>
            <w:bookmarkEnd w:id="190"/>
          </w:p>
        </w:tc>
      </w:tr>
      <w:tr>
        <w:trPr/>
        <w:tc>
          <w:tcPr>
            <w:tcW w:w="2042" w:type="dxa"/>
            <w:tcBorders/>
            <w:shd w:fill="FFFFFF" w:val="clear"/>
            <w:vAlign w:val="center"/>
          </w:tcPr>
          <w:p>
            <w:pPr>
              <w:pStyle w:val="TableContents"/>
              <w:bidi w:val="0"/>
              <w:spacing w:before="0" w:after="283"/>
              <w:jc w:val="both"/>
              <w:rPr/>
            </w:pPr>
            <w:r>
              <w:rPr/>
              <w:t>Foreign currency translation</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5" w:type="dxa"/>
            <w:tcBorders>
              <w:bottom w:val="single" w:sz="8" w:space="0" w:color="000000"/>
            </w:tcBorders>
            <w:shd w:fill="FFFFFF" w:val="clear"/>
            <w:tcMar>
              <w:bottom w:w="28" w:type="dxa"/>
            </w:tcMar>
            <w:vAlign w:val="center"/>
          </w:tcPr>
          <w:p>
            <w:pPr>
              <w:pStyle w:val="TableContents"/>
              <w:bidi w:val="0"/>
              <w:spacing w:before="0" w:after="283"/>
              <w:jc w:val="right"/>
              <w:rPr/>
            </w:pPr>
            <w:r>
              <w:rPr/>
              <w:t>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r>
              <w:rPr/>
              <w:t>12</w:t>
            </w:r>
          </w:p>
        </w:tc>
        <w:tc>
          <w:tcPr>
            <w:tcW w:w="114" w:type="dxa"/>
            <w:tcBorders/>
            <w:shd w:fill="FFFFFF" w:val="clear"/>
            <w:vAlign w:val="center"/>
          </w:tcPr>
          <w:p>
            <w:pPr>
              <w:pStyle w:val="TableContents"/>
              <w:bidi w:val="0"/>
              <w:spacing w:before="0" w:after="283"/>
              <w:jc w:val="left"/>
              <w:rPr/>
            </w:pPr>
            <w:r>
              <w:rPr/>
              <w:t> </w:t>
            </w:r>
          </w:p>
        </w:tc>
      </w:tr>
      <w:tr>
        <w:trPr/>
        <w:tc>
          <w:tcPr>
            <w:tcW w:w="2042"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582"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91" w:name="xdx_43F_c20260101__20260630_eus-gaap--St"/>
            <w:bookmarkEnd w:id="191"/>
          </w:p>
        </w:tc>
      </w:tr>
      <w:tr>
        <w:trPr/>
        <w:tc>
          <w:tcPr>
            <w:tcW w:w="2042" w:type="dxa"/>
            <w:tcBorders/>
            <w:shd w:fill="FFFFFF" w:val="clear"/>
            <w:vAlign w:val="center"/>
          </w:tcPr>
          <w:p>
            <w:pPr>
              <w:pStyle w:val="TableContents"/>
              <w:bidi w:val="0"/>
              <w:spacing w:before="0" w:after="283"/>
              <w:jc w:val="both"/>
              <w:rPr>
                <w:b/>
              </w:rPr>
            </w:pPr>
            <w:r>
              <w:rPr>
                <w:b/>
              </w:rPr>
              <w:t>Balance as of June 30, 2026</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92" w:name="xdx_983_eus-gaap--SharesOutstanding_iE_p"/>
            <w:bookmarkEnd w:id="192"/>
          </w:p>
        </w:tc>
        <w:tc>
          <w:tcPr>
            <w:tcW w:w="1045" w:type="dxa"/>
            <w:tcBorders>
              <w:bottom w:val="single" w:sz="8" w:space="0" w:color="000000"/>
            </w:tcBorders>
            <w:shd w:fill="FFFFFF" w:val="clear"/>
            <w:tcMar>
              <w:bottom w:w="28" w:type="dxa"/>
            </w:tcMar>
            <w:vAlign w:val="center"/>
          </w:tcPr>
          <w:p>
            <w:pPr>
              <w:pStyle w:val="TableContents"/>
              <w:bidi w:val="0"/>
              <w:spacing w:before="0" w:after="283"/>
              <w:jc w:val="right"/>
              <w:rPr/>
            </w:pPr>
            <w:r>
              <w:rPr/>
              <w:t>1,318,742</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bookmarkStart w:id="193" w:name="xdx_F2B_zEnJhASmlJL3"/>
            <w:bookmarkEnd w:id="193"/>
            <w:r>
              <w:rPr>
                <w:rFonts w:ascii="Times New Roman;Times;Serif" w:hAnsi="Times New Roman;Times;Serif"/>
                <w:sz w:val="20"/>
              </w:rPr>
              <w:t>**</w:t>
            </w:r>
          </w:p>
        </w:tc>
        <w:tc>
          <w:tcPr>
            <w:tcW w:w="20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4" w:type="dxa"/>
            <w:tcBorders>
              <w:bottom w:val="single" w:sz="8" w:space="0" w:color="000000"/>
            </w:tcBorders>
            <w:shd w:fill="FFFFFF" w:val="clear"/>
            <w:tcMar>
              <w:bottom w:w="28" w:type="dxa"/>
            </w:tcMar>
            <w:vAlign w:val="center"/>
          </w:tcPr>
          <w:p>
            <w:pPr>
              <w:pStyle w:val="TableContents"/>
              <w:bidi w:val="0"/>
              <w:spacing w:before="0" w:after="283"/>
              <w:jc w:val="right"/>
              <w:rPr/>
            </w:pPr>
            <w:r>
              <w:rPr/>
              <w:t>5,805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5" w:type="dxa"/>
            <w:tcBorders>
              <w:bottom w:val="single" w:sz="8" w:space="0" w:color="000000"/>
            </w:tcBorders>
            <w:shd w:fill="FFFFFF" w:val="clear"/>
            <w:tcMar>
              <w:bottom w:w="28" w:type="dxa"/>
            </w:tcMar>
            <w:vAlign w:val="center"/>
          </w:tcPr>
          <w:p>
            <w:pPr>
              <w:pStyle w:val="TableContents"/>
              <w:bidi w:val="0"/>
              <w:spacing w:before="0" w:after="283"/>
              <w:jc w:val="right"/>
              <w:rPr/>
            </w:pPr>
            <w:r>
              <w:rPr/>
              <w:t>(3,667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r>
              <w:rPr/>
              <w:t>2,136</w:t>
            </w:r>
          </w:p>
        </w:tc>
        <w:tc>
          <w:tcPr>
            <w:tcW w:w="114" w:type="dxa"/>
            <w:tcBorders/>
            <w:shd w:fill="FFFFFF" w:val="clear"/>
            <w:vAlign w:val="center"/>
          </w:tcPr>
          <w:p>
            <w:pPr>
              <w:pStyle w:val="TableContents"/>
              <w:bidi w:val="0"/>
              <w:spacing w:before="0" w:after="283"/>
              <w:jc w:val="left"/>
              <w:rPr/>
            </w:pPr>
            <w:r>
              <w:rPr/>
              <w:t> </w:t>
            </w:r>
            <w:bookmarkStart w:id="194" w:name="xdx_43A_c20260101__20260630_eus-gaap--St"/>
            <w:bookmarkEnd w:id="194"/>
          </w:p>
        </w:tc>
      </w:tr>
      <w:tr>
        <w:trPr/>
        <w:tc>
          <w:tcPr>
            <w:tcW w:w="2042" w:type="dxa"/>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Balance</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95" w:name="xdx_98A_eus-gaap--SharesOutstanding_iE_p"/>
            <w:bookmarkEnd w:id="195"/>
          </w:p>
        </w:tc>
        <w:tc>
          <w:tcPr>
            <w:tcW w:w="10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1,318,742</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bookmarkStart w:id="196" w:name="xdx_F25_z88CUsDCBPga"/>
            <w:bookmarkEnd w:id="196"/>
            <w:r>
              <w:rPr>
                <w:rFonts w:ascii="Times New Roman;Times;Serif" w:hAnsi="Times New Roman;Times;Serif"/>
                <w:sz w:val="20"/>
              </w:rPr>
              <w:t>-**</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(3,667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2,136</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97" w:name="xdx_F0C_zKrqOHRbOkFe"/>
            <w:bookmarkEnd w:id="197"/>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98" w:name="xdx_F1D_zNkR0et0oK06"/>
            <w:bookmarkEnd w:id="198"/>
            <w:r>
              <w:rPr>
                <w:rFonts w:ascii="Times New Roman;Times;Serif" w:hAnsi="Times New Roman;Times;Serif"/>
                <w:b w:val="false"/>
                <w:i w:val="false"/>
                <w:caps w:val="false"/>
                <w:smallCaps w:val="false"/>
                <w:sz w:val="20"/>
              </w:rPr>
              <w:t xml:space="preserve">Retrospectively presented for the effect of (i) the issuance of </w:t>
            </w:r>
            <w:bookmarkStart w:id="199" w:name="xdx_905_eus-gaap--StockIssuedDuringPerio"/>
            <w:bookmarkEnd w:id="199"/>
            <w:r>
              <w:rPr>
                <w:rFonts w:ascii="Times New Roman;Times;Serif" w:hAnsi="Times New Roman;Times;Serif"/>
                <w:b w:val="false"/>
                <w:i w:val="false"/>
                <w:caps w:val="false"/>
                <w:smallCaps w:val="false"/>
                <w:sz w:val="20"/>
              </w:rPr>
              <w:t xml:space="preserve">1 ordinary share on February 15, 2024 in preparation of the Company’s initial public offering, (ii) the </w:t>
            </w:r>
            <w:bookmarkStart w:id="200" w:name="xdx_901_eus-gaap--StockholdersEquityNote"/>
            <w:bookmarkEnd w:id="200"/>
            <w:r>
              <w:rPr>
                <w:rFonts w:ascii="Times New Roman;Times;Serif" w:hAnsi="Times New Roman;Times;Serif"/>
                <w:b w:val="false"/>
                <w:i w:val="false"/>
                <w:caps w:val="false"/>
                <w:smallCaps w:val="false"/>
                <w:sz w:val="20"/>
              </w:rPr>
              <w:t xml:space="preserve">1:200 share subdivision and </w:t>
            </w:r>
            <w:bookmarkStart w:id="201" w:name="xdx_904_eus-gaap--SharesIssued_iI_pid_c2"/>
            <w:bookmarkEnd w:id="201"/>
            <w:r>
              <w:rPr>
                <w:rFonts w:ascii="Times New Roman;Times;Serif" w:hAnsi="Times New Roman;Times;Serif"/>
                <w:b w:val="false"/>
                <w:i w:val="false"/>
                <w:caps w:val="false"/>
                <w:smallCaps w:val="false"/>
                <w:sz w:val="20"/>
              </w:rPr>
              <w:t>5,000,000 share surrender approved on October 2, 2024, (iii) the 15 for 1 reverse share split effected on February 12, 2026, and (iv) the 30 for 1 reverse share split effected on May 4, 2026.</w:t>
            </w:r>
          </w:p>
        </w:tc>
      </w:tr>
    </w:tbl>
    <w:p>
      <w:pPr>
        <w:pStyle w:val="TextBody"/>
        <w:bidi w:val="0"/>
        <w:spacing w:before="0" w:after="0"/>
        <w:ind w:left="0" w:right="0" w:hanging="0"/>
        <w:jc w:val="both"/>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245"/>
        <w:gridCol w:w="2150"/>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02" w:name="xdx_F08_zaW5Qdv4yif7"/>
            <w:bookmarkEnd w:id="202"/>
            <w:r>
              <w:rPr>
                <w:rFonts w:ascii="Times New Roman;Times;Serif" w:hAnsi="Times New Roman;Times;Serif"/>
                <w:b w:val="false"/>
                <w:i w:val="false"/>
                <w:caps w:val="false"/>
                <w:smallCaps w:val="false"/>
                <w:sz w:val="20"/>
              </w:rPr>
              <w:t>**</w:t>
            </w:r>
          </w:p>
        </w:tc>
        <w:tc>
          <w:tcPr>
            <w:tcW w:w="2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03" w:name="xdx_F12_zcwHn88iEcM5"/>
            <w:bookmarkEnd w:id="203"/>
            <w:r>
              <w:rPr>
                <w:rFonts w:ascii="Times New Roman;Times;Serif" w:hAnsi="Times New Roman;Times;Serif"/>
                <w:b w:val="false"/>
                <w:i w:val="false"/>
                <w:caps w:val="false"/>
                <w:smallCaps w:val="false"/>
                <w:sz w:val="20"/>
              </w:rPr>
              <w:t>Below S$1,000/US$1,000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interim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FITNESS CHAMPS HOLDINGS LTD AND SUBSIDIARIES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INTERIM CONSOLIDATED STATEMENTS OF CASH FLOWS</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4" w:name="xdx_301_112_pn3n3_zQzegyRImiHg"/>
      <w:bookmarkStart w:id="205" w:name="xdx_301_112_pn3n3_zQzegyRImiHg"/>
      <w:bookmarkEnd w:id="205"/>
    </w:p>
    <w:tbl>
      <w:tblPr>
        <w:tblW w:w="10009" w:type="dxa"/>
        <w:jc w:val="left"/>
        <w:tblInd w:w="0" w:type="dxa"/>
        <w:tblLayout w:type="fixed"/>
        <w:tblCellMar>
          <w:top w:w="0" w:type="dxa"/>
          <w:left w:w="0" w:type="dxa"/>
          <w:bottom w:w="0" w:type="dxa"/>
          <w:right w:w="0" w:type="dxa"/>
        </w:tblCellMar>
      </w:tblPr>
      <w:tblGrid>
        <w:gridCol w:w="6875"/>
        <w:gridCol w:w="60"/>
        <w:gridCol w:w="82"/>
        <w:gridCol w:w="627"/>
        <w:gridCol w:w="189"/>
        <w:gridCol w:w="81"/>
        <w:gridCol w:w="81"/>
        <w:gridCol w:w="860"/>
        <w:gridCol w:w="95"/>
        <w:gridCol w:w="60"/>
        <w:gridCol w:w="76"/>
        <w:gridCol w:w="813"/>
        <w:gridCol w:w="110"/>
      </w:tblGrid>
      <w:tr>
        <w:trPr/>
        <w:tc>
          <w:tcPr>
            <w:tcW w:w="6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06" w:name="xdx_492_20250101__20250630_zbHNqfPQvAm9"/>
            <w:bookmarkEnd w:id="206"/>
          </w:p>
        </w:tc>
        <w:tc>
          <w:tcPr>
            <w:tcW w:w="7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89"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center"/>
              <w:rPr/>
            </w:pPr>
            <w:r>
              <w:rPr/>
              <w:t> </w:t>
            </w:r>
            <w:bookmarkStart w:id="207" w:name="xdx_49C_20260101__20260630_z7IQfqkgd577"/>
            <w:bookmarkEnd w:id="207"/>
          </w:p>
        </w:tc>
        <w:tc>
          <w:tcPr>
            <w:tcW w:w="94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10" w:type="dxa"/>
            <w:tcBorders/>
            <w:vAlign w:val="center"/>
          </w:tcPr>
          <w:p>
            <w:pPr>
              <w:pStyle w:val="TableContents"/>
              <w:bidi w:val="0"/>
              <w:spacing w:before="0" w:after="283"/>
              <w:jc w:val="center"/>
              <w:rPr/>
            </w:pPr>
            <w:r>
              <w:rPr/>
              <w:t> </w:t>
            </w:r>
          </w:p>
        </w:tc>
      </w:tr>
      <w:tr>
        <w:trPr/>
        <w:tc>
          <w:tcPr>
            <w:tcW w:w="6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9"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6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89"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center"/>
              <w:rPr/>
            </w:pPr>
            <w:r>
              <w:rPr/>
              <w:t> </w:t>
            </w:r>
          </w:p>
        </w:tc>
        <w:tc>
          <w:tcPr>
            <w:tcW w:w="9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center"/>
              <w:rPr/>
            </w:pPr>
            <w:r>
              <w:rPr/>
              <w:t> </w:t>
            </w:r>
          </w:p>
        </w:tc>
      </w:tr>
      <w:tr>
        <w:trPr/>
        <w:tc>
          <w:tcPr>
            <w:tcW w:w="6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pPr>
            <w:r>
              <w:rPr/>
              <w:t> </w:t>
            </w:r>
          </w:p>
        </w:tc>
        <w:tc>
          <w:tcPr>
            <w:tcW w:w="7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S$’000</w:t>
            </w:r>
          </w:p>
        </w:tc>
        <w:tc>
          <w:tcPr>
            <w:tcW w:w="189"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center"/>
              <w:rPr/>
            </w:pPr>
            <w:r>
              <w:rPr/>
              <w:t> </w:t>
            </w:r>
          </w:p>
        </w:tc>
        <w:tc>
          <w:tcPr>
            <w:tcW w:w="9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S$’000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US$’000</w:t>
            </w:r>
          </w:p>
        </w:tc>
        <w:tc>
          <w:tcPr>
            <w:tcW w:w="110" w:type="dxa"/>
            <w:tcBorders/>
            <w:vAlign w:val="center"/>
          </w:tcPr>
          <w:p>
            <w:pPr>
              <w:pStyle w:val="TableContents"/>
              <w:bidi w:val="0"/>
              <w:spacing w:before="0" w:after="283"/>
              <w:jc w:val="center"/>
              <w:rPr/>
            </w:pPr>
            <w:r>
              <w:rPr/>
              <w:t> </w:t>
            </w:r>
            <w:bookmarkStart w:id="208" w:name="xdx_405_eus-gaap--NetCashProvidedByUsedI"/>
            <w:bookmarkEnd w:id="208"/>
          </w:p>
        </w:tc>
      </w:tr>
      <w:tr>
        <w:trPr/>
        <w:tc>
          <w:tcPr>
            <w:tcW w:w="6875" w:type="dxa"/>
            <w:tcBorders/>
            <w:shd w:fill="CCEEFF" w:val="clear"/>
            <w:vAlign w:val="center"/>
          </w:tcPr>
          <w:p>
            <w:pPr>
              <w:pStyle w:val="TableContents"/>
              <w:bidi w:val="0"/>
              <w:spacing w:before="0" w:after="283"/>
              <w:jc w:val="both"/>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709" w:type="dxa"/>
            <w:gridSpan w:val="2"/>
            <w:tcBorders/>
            <w:shd w:fill="CCEEFF" w:val="clear"/>
            <w:vAlign w:val="center"/>
          </w:tcPr>
          <w:p>
            <w:pPr>
              <w:pStyle w:val="TableContents"/>
              <w:bidi w:val="0"/>
              <w:spacing w:before="0" w:after="283"/>
              <w:jc w:val="right"/>
              <w:rPr/>
            </w:pPr>
            <w:r>
              <w:rPr/>
              <w:t> </w:t>
            </w:r>
          </w:p>
        </w:tc>
        <w:tc>
          <w:tcPr>
            <w:tcW w:w="18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1"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9" w:type="dxa"/>
            <w:gridSpan w:val="2"/>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9" w:name="xdx_40B_eus-gaap--NetIncomeLoss_i01_maNC"/>
            <w:bookmarkEnd w:id="209"/>
          </w:p>
        </w:tc>
      </w:tr>
      <w:tr>
        <w:trPr/>
        <w:tc>
          <w:tcPr>
            <w:tcW w:w="6875" w:type="dxa"/>
            <w:tcBorders/>
            <w:shd w:fill="FFFFFF" w:val="clear"/>
            <w:vAlign w:val="center"/>
          </w:tcPr>
          <w:p>
            <w:pPr>
              <w:pStyle w:val="TableContents"/>
              <w:bidi w:val="0"/>
              <w:spacing w:before="0" w:after="283"/>
              <w:jc w:val="both"/>
              <w:rPr/>
            </w:pPr>
            <w:r>
              <w:rPr/>
              <w:t>Net loss</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pPr>
            <w:r>
              <w:rPr/>
              <w:t>(248</w:t>
            </w:r>
          </w:p>
        </w:tc>
        <w:tc>
          <w:tcPr>
            <w:tcW w:w="189" w:type="dxa"/>
            <w:tcBorders/>
            <w:shd w:fill="FFFFFF" w:val="clear"/>
            <w:vAlign w:val="center"/>
          </w:tcPr>
          <w:p>
            <w:pPr>
              <w:pStyle w:val="TableContents"/>
              <w:bidi w:val="0"/>
              <w:spacing w:before="0" w:after="283"/>
              <w:jc w:val="left"/>
              <w:rPr/>
            </w:pPr>
            <w:r>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(3,385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bookmarkStart w:id="210" w:name="xdx_98F_eus-gaap--NetIncomeLoss_pn3n3_uU"/>
            <w:bookmarkEnd w:id="210"/>
          </w:p>
        </w:tc>
        <w:tc>
          <w:tcPr>
            <w:tcW w:w="813" w:type="dxa"/>
            <w:tcBorders/>
            <w:shd w:fill="FFFFFF" w:val="clear"/>
            <w:vAlign w:val="center"/>
          </w:tcPr>
          <w:p>
            <w:pPr>
              <w:pStyle w:val="TableContents"/>
              <w:bidi w:val="0"/>
              <w:spacing w:before="0" w:after="283"/>
              <w:jc w:val="right"/>
              <w:rPr/>
            </w:pPr>
            <w:r>
              <w:rPr/>
              <w:t>(2,615</w:t>
            </w:r>
          </w:p>
        </w:tc>
        <w:tc>
          <w:tcPr>
            <w:tcW w:w="110" w:type="dxa"/>
            <w:tcBorders/>
            <w:shd w:fill="FFFFFF" w:val="clear"/>
            <w:vAlign w:val="center"/>
          </w:tcPr>
          <w:p>
            <w:pPr>
              <w:pStyle w:val="TableContents"/>
              <w:bidi w:val="0"/>
              <w:spacing w:before="0" w:after="283"/>
              <w:jc w:val="left"/>
              <w:rPr/>
            </w:pPr>
            <w:r>
              <w:rPr/>
              <w:t>)</w:t>
            </w:r>
            <w:bookmarkStart w:id="211" w:name="xdx_408_eus-gaap--AdjustmentsToReconcile"/>
            <w:bookmarkEnd w:id="211"/>
          </w:p>
        </w:tc>
      </w:tr>
      <w:tr>
        <w:trPr/>
        <w:tc>
          <w:tcPr>
            <w:tcW w:w="6875" w:type="dxa"/>
            <w:tcBorders/>
            <w:shd w:fill="CCEEFF" w:val="clear"/>
            <w:vAlign w:val="center"/>
          </w:tcPr>
          <w:p>
            <w:pPr>
              <w:pStyle w:val="TableContents"/>
              <w:bidi w:val="0"/>
              <w:spacing w:before="0" w:after="283"/>
              <w:jc w:val="left"/>
              <w:rPr>
                <w:i/>
              </w:rPr>
            </w:pPr>
            <w:r>
              <w:rPr>
                <w:i/>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pPr>
            <w:r>
              <w:rPr/>
              <w:t> </w:t>
            </w:r>
          </w:p>
        </w:tc>
        <w:tc>
          <w:tcPr>
            <w:tcW w:w="18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bookmarkStart w:id="212" w:name="xdx_400_eus-gaap--DepreciationAndAmortiz"/>
            <w:bookmarkEnd w:id="212"/>
          </w:p>
        </w:tc>
      </w:tr>
      <w:tr>
        <w:trPr/>
        <w:tc>
          <w:tcPr>
            <w:tcW w:w="6875" w:type="dxa"/>
            <w:tcBorders/>
            <w:shd w:fill="FFFFFF" w:val="clear"/>
            <w:vAlign w:val="center"/>
          </w:tcPr>
          <w:p>
            <w:pPr>
              <w:pStyle w:val="TableContents"/>
              <w:bidi w:val="0"/>
              <w:spacing w:before="0" w:after="283"/>
              <w:jc w:val="both"/>
              <w:rPr/>
            </w:pPr>
            <w:r>
              <w:rPr/>
              <w:t>Amortization and depreciation</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pPr>
            <w:r>
              <w:rPr/>
              <w:t>49</w:t>
            </w:r>
          </w:p>
        </w:tc>
        <w:tc>
          <w:tcPr>
            <w:tcW w:w="18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bookmarkStart w:id="213" w:name="xdx_989_eus-gaap--DepreciationAndAmortiz"/>
            <w:bookmarkEnd w:id="213"/>
          </w:p>
        </w:tc>
        <w:tc>
          <w:tcPr>
            <w:tcW w:w="813" w:type="dxa"/>
            <w:tcBorders/>
            <w:shd w:fill="FFFFFF" w:val="clear"/>
            <w:vAlign w:val="center"/>
          </w:tcPr>
          <w:p>
            <w:pPr>
              <w:pStyle w:val="TableContents"/>
              <w:bidi w:val="0"/>
              <w:spacing w:before="0" w:after="283"/>
              <w:jc w:val="right"/>
              <w:rPr/>
            </w:pPr>
            <w:r>
              <w:rPr/>
              <w:t>40</w:t>
            </w:r>
          </w:p>
        </w:tc>
        <w:tc>
          <w:tcPr>
            <w:tcW w:w="110" w:type="dxa"/>
            <w:tcBorders/>
            <w:shd w:fill="FFFFFF" w:val="clear"/>
            <w:vAlign w:val="center"/>
          </w:tcPr>
          <w:p>
            <w:pPr>
              <w:pStyle w:val="TableContents"/>
              <w:bidi w:val="0"/>
              <w:spacing w:before="0" w:after="283"/>
              <w:jc w:val="left"/>
              <w:rPr/>
            </w:pPr>
            <w:r>
              <w:rPr/>
              <w:t> </w:t>
            </w:r>
            <w:bookmarkStart w:id="214" w:name="xdx_403_eus-gaap--InterestExpense_i02_ma"/>
            <w:bookmarkEnd w:id="214"/>
          </w:p>
        </w:tc>
      </w:tr>
      <w:tr>
        <w:trPr/>
        <w:tc>
          <w:tcPr>
            <w:tcW w:w="6875" w:type="dxa"/>
            <w:tcBorders/>
            <w:shd w:fill="CCEEFF" w:val="clear"/>
            <w:vAlign w:val="center"/>
          </w:tcPr>
          <w:p>
            <w:pPr>
              <w:pStyle w:val="TableContents"/>
              <w:bidi w:val="0"/>
              <w:spacing w:before="0" w:after="283"/>
              <w:jc w:val="both"/>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pPr>
            <w:r>
              <w:rPr/>
              <w:t>10</w:t>
            </w:r>
          </w:p>
        </w:tc>
        <w:tc>
          <w:tcPr>
            <w:tcW w:w="18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bookmarkStart w:id="215" w:name="xdx_987_eus-gaap--InterestExpense_pn3n3_"/>
            <w:bookmarkEnd w:id="215"/>
          </w:p>
        </w:tc>
        <w:tc>
          <w:tcPr>
            <w:tcW w:w="813" w:type="dxa"/>
            <w:tcBorders/>
            <w:shd w:fill="CCEEFF" w:val="cle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 </w:t>
            </w:r>
            <w:bookmarkStart w:id="216" w:name="xdx_40C_ecustom--InterestOnLeaseLiabilit"/>
            <w:bookmarkEnd w:id="216"/>
          </w:p>
        </w:tc>
      </w:tr>
      <w:tr>
        <w:trPr/>
        <w:tc>
          <w:tcPr>
            <w:tcW w:w="6875" w:type="dxa"/>
            <w:tcBorders/>
            <w:shd w:fill="FFFFFF" w:val="clear"/>
            <w:vAlign w:val="center"/>
          </w:tcPr>
          <w:p>
            <w:pPr>
              <w:pStyle w:val="TableContents"/>
              <w:bidi w:val="0"/>
              <w:spacing w:before="0" w:after="283"/>
              <w:jc w:val="both"/>
              <w:rPr/>
            </w:pPr>
            <w:r>
              <w:rPr/>
              <w:t>Interest on lease liability</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pPr>
            <w:r>
              <w:rPr/>
              <w:t>1</w:t>
            </w:r>
          </w:p>
        </w:tc>
        <w:tc>
          <w:tcPr>
            <w:tcW w:w="18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bookmarkStart w:id="217" w:name="xdx_986_ecustom--InterestOnLeaseLiabilit"/>
            <w:bookmarkEnd w:id="217"/>
          </w:p>
        </w:tc>
        <w:tc>
          <w:tcPr>
            <w:tcW w:w="813" w:type="dxa"/>
            <w:tcBorders/>
            <w:shd w:fill="FFFFFF" w:val="clear"/>
            <w:vAlign w:val="center"/>
          </w:tcPr>
          <w:p>
            <w:pPr>
              <w:pStyle w:val="TableContents"/>
              <w:bidi w:val="0"/>
              <w:spacing w:before="0" w:after="283"/>
              <w:jc w:val="right"/>
              <w:rPr/>
            </w:pPr>
            <w:r>
              <w:rPr/>
              <w:t>1</w:t>
            </w:r>
          </w:p>
        </w:tc>
        <w:tc>
          <w:tcPr>
            <w:tcW w:w="110" w:type="dxa"/>
            <w:tcBorders/>
            <w:shd w:fill="FFFFFF" w:val="clear"/>
            <w:vAlign w:val="center"/>
          </w:tcPr>
          <w:p>
            <w:pPr>
              <w:pStyle w:val="TableContents"/>
              <w:bidi w:val="0"/>
              <w:spacing w:before="0" w:after="283"/>
              <w:jc w:val="left"/>
              <w:rPr/>
            </w:pPr>
            <w:r>
              <w:rPr/>
              <w:t> </w:t>
            </w:r>
            <w:bookmarkStart w:id="218" w:name="xdx_40E_eus-gaap--InvestmentIncomeIntere"/>
            <w:bookmarkEnd w:id="218"/>
          </w:p>
        </w:tc>
      </w:tr>
      <w:tr>
        <w:trPr/>
        <w:tc>
          <w:tcPr>
            <w:tcW w:w="6875" w:type="dxa"/>
            <w:tcBorders/>
            <w:shd w:fill="CCEEFF" w:val="clear"/>
            <w:vAlign w:val="center"/>
          </w:tcPr>
          <w:p>
            <w:pPr>
              <w:pStyle w:val="TableContents"/>
              <w:bidi w:val="0"/>
              <w:spacing w:before="0" w:after="283"/>
              <w:jc w:val="both"/>
              <w:rPr/>
            </w:pPr>
            <w:r>
              <w:rPr/>
              <w:t>Interest income</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pPr>
            <w:r>
              <w:rPr/>
              <w:t>-</w:t>
            </w:r>
            <w:bookmarkStart w:id="219" w:name="xdx_F2A_ziUpCSqwxUli"/>
            <w:bookmarkEnd w:id="219"/>
            <w:r>
              <w:rPr>
                <w:rFonts w:ascii="Times New Roman;Times;Serif" w:hAnsi="Times New Roman;Times;Serif"/>
                <w:sz w:val="20"/>
              </w:rPr>
              <w:t>*</w:t>
            </w:r>
          </w:p>
        </w:tc>
        <w:tc>
          <w:tcPr>
            <w:tcW w:w="189" w:type="dxa"/>
            <w:tcBorders/>
            <w:shd w:fill="CCEEFF" w:val="clear"/>
            <w:vAlign w:val="center"/>
          </w:tcPr>
          <w:p>
            <w:pPr>
              <w:pStyle w:val="TableContents"/>
              <w:bidi w:val="0"/>
              <w:spacing w:before="0" w:after="283"/>
              <w:jc w:val="left"/>
              <w:rPr/>
            </w:pPr>
            <w:r>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bookmarkStart w:id="220" w:name="xdx_982_eus-gaap--InvestmentIncomeIntere"/>
            <w:bookmarkEnd w:id="220"/>
          </w:p>
        </w:tc>
        <w:tc>
          <w:tcPr>
            <w:tcW w:w="813" w:type="dxa"/>
            <w:tcBorders/>
            <w:shd w:fill="CCEEFF" w:val="clear"/>
            <w:vAlign w:val="center"/>
          </w:tcPr>
          <w:p>
            <w:pPr>
              <w:pStyle w:val="TableContents"/>
              <w:bidi w:val="0"/>
              <w:spacing w:before="0" w:after="283"/>
              <w:jc w:val="right"/>
              <w:rPr/>
            </w:pPr>
            <w:r>
              <w:rPr/>
              <w:t>(16</w:t>
            </w:r>
          </w:p>
        </w:tc>
        <w:tc>
          <w:tcPr>
            <w:tcW w:w="110" w:type="dxa"/>
            <w:tcBorders/>
            <w:shd w:fill="CCEEFF" w:val="clear"/>
            <w:vAlign w:val="center"/>
          </w:tcPr>
          <w:p>
            <w:pPr>
              <w:pStyle w:val="TableContents"/>
              <w:bidi w:val="0"/>
              <w:spacing w:before="0" w:after="283"/>
              <w:jc w:val="left"/>
              <w:rPr/>
            </w:pPr>
            <w:r>
              <w:rPr/>
              <w:t>)</w:t>
            </w:r>
          </w:p>
        </w:tc>
      </w:tr>
      <w:tr>
        <w:trPr/>
        <w:tc>
          <w:tcPr>
            <w:tcW w:w="687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1" w:name="xdx_40B_eus-gaap--IncreaseDecreaseInOper"/>
            <w:bookmarkEnd w:id="221"/>
          </w:p>
        </w:tc>
      </w:tr>
      <w:tr>
        <w:trPr/>
        <w:tc>
          <w:tcPr>
            <w:tcW w:w="6875" w:type="dxa"/>
            <w:tcBorders/>
            <w:shd w:fill="CCEEFF" w:val="clear"/>
            <w:vAlign w:val="center"/>
          </w:tcPr>
          <w:p>
            <w:pPr>
              <w:pStyle w:val="TableContents"/>
              <w:bidi w:val="0"/>
              <w:spacing w:before="0" w:after="283"/>
              <w:jc w:val="both"/>
              <w:rPr>
                <w:i/>
              </w:rPr>
            </w:pPr>
            <w:r>
              <w:rPr>
                <w:i/>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pPr>
            <w:r>
              <w:rPr/>
              <w:t> </w:t>
            </w:r>
          </w:p>
        </w:tc>
        <w:tc>
          <w:tcPr>
            <w:tcW w:w="18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22" w:name="xdx_405_eus-gaap--IncreaseDecreaseInAcco"/>
            <w:bookmarkEnd w:id="222"/>
          </w:p>
        </w:tc>
      </w:tr>
      <w:tr>
        <w:trPr/>
        <w:tc>
          <w:tcPr>
            <w:tcW w:w="6875" w:type="dxa"/>
            <w:tcBorders/>
            <w:shd w:fill="FFFFFF" w:val="clear"/>
            <w:vAlign w:val="center"/>
          </w:tcPr>
          <w:p>
            <w:pPr>
              <w:pStyle w:val="TableContents"/>
              <w:bidi w:val="0"/>
              <w:spacing w:before="0" w:after="283"/>
              <w:jc w:val="both"/>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pPr>
            <w:r>
              <w:rPr/>
              <w:t>(40</w:t>
            </w:r>
          </w:p>
        </w:tc>
        <w:tc>
          <w:tcPr>
            <w:tcW w:w="189" w:type="dxa"/>
            <w:tcBorders/>
            <w:shd w:fill="FFFFFF" w:val="clear"/>
            <w:vAlign w:val="center"/>
          </w:tcPr>
          <w:p>
            <w:pPr>
              <w:pStyle w:val="TableContents"/>
              <w:bidi w:val="0"/>
              <w:spacing w:before="0" w:after="283"/>
              <w:jc w:val="left"/>
              <w:rPr/>
            </w:pPr>
            <w:r>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bookmarkStart w:id="223" w:name="xdx_98C_eus-gaap--IncreaseDecreaseInAcco"/>
            <w:bookmarkEnd w:id="223"/>
          </w:p>
        </w:tc>
        <w:tc>
          <w:tcPr>
            <w:tcW w:w="813" w:type="dxa"/>
            <w:tcBorders/>
            <w:shd w:fill="FFFFFF" w:val="clear"/>
            <w:vAlign w:val="center"/>
          </w:tcPr>
          <w:p>
            <w:pPr>
              <w:pStyle w:val="TableContents"/>
              <w:bidi w:val="0"/>
              <w:spacing w:before="0" w:after="283"/>
              <w:jc w:val="right"/>
              <w:rPr/>
            </w:pPr>
            <w:r>
              <w:rPr/>
              <w:t>(19</w:t>
            </w:r>
          </w:p>
        </w:tc>
        <w:tc>
          <w:tcPr>
            <w:tcW w:w="110" w:type="dxa"/>
            <w:tcBorders/>
            <w:shd w:fill="FFFFFF" w:val="clear"/>
            <w:vAlign w:val="center"/>
          </w:tcPr>
          <w:p>
            <w:pPr>
              <w:pStyle w:val="TableContents"/>
              <w:bidi w:val="0"/>
              <w:spacing w:before="0" w:after="283"/>
              <w:jc w:val="left"/>
              <w:rPr/>
            </w:pPr>
            <w:r>
              <w:rPr/>
              <w:t>)</w:t>
            </w:r>
            <w:bookmarkStart w:id="224" w:name="xdx_40C_eus-gaap--IncreaseDecreaseInPrep"/>
            <w:bookmarkEnd w:id="224"/>
          </w:p>
        </w:tc>
      </w:tr>
      <w:tr>
        <w:trPr/>
        <w:tc>
          <w:tcPr>
            <w:tcW w:w="6875" w:type="dxa"/>
            <w:tcBorders/>
            <w:shd w:fill="CCEEFF" w:val="clear"/>
            <w:vAlign w:val="center"/>
          </w:tcPr>
          <w:p>
            <w:pPr>
              <w:pStyle w:val="TableContents"/>
              <w:bidi w:val="0"/>
              <w:spacing w:before="0" w:after="283"/>
              <w:jc w:val="both"/>
              <w:rPr/>
            </w:pPr>
            <w:r>
              <w:rPr/>
              <w:t>Deposits, prepayments and other receivables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pPr>
            <w:r>
              <w:rPr/>
              <w:t>(145</w:t>
            </w:r>
          </w:p>
        </w:tc>
        <w:tc>
          <w:tcPr>
            <w:tcW w:w="189" w:type="dxa"/>
            <w:tcBorders/>
            <w:shd w:fill="CCEEFF" w:val="clear"/>
            <w:vAlign w:val="center"/>
          </w:tcPr>
          <w:p>
            <w:pPr>
              <w:pStyle w:val="TableContents"/>
              <w:bidi w:val="0"/>
              <w:spacing w:before="0" w:after="283"/>
              <w:jc w:val="left"/>
              <w:rPr/>
            </w:pPr>
            <w:r>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bookmarkStart w:id="225" w:name="xdx_985_eus-gaap--IncreaseDecreaseInPrep"/>
            <w:bookmarkEnd w:id="225"/>
          </w:p>
        </w:tc>
        <w:tc>
          <w:tcPr>
            <w:tcW w:w="813" w:type="dxa"/>
            <w:tcBorders/>
            <w:shd w:fill="CCEEFF" w:val="clear"/>
            <w:vAlign w:val="center"/>
          </w:tcPr>
          <w:p>
            <w:pPr>
              <w:pStyle w:val="TableContents"/>
              <w:bidi w:val="0"/>
              <w:spacing w:before="0" w:after="283"/>
              <w:jc w:val="right"/>
              <w:rPr/>
            </w:pPr>
            <w:r>
              <w:rPr/>
              <w:t>(89</w:t>
            </w:r>
          </w:p>
        </w:tc>
        <w:tc>
          <w:tcPr>
            <w:tcW w:w="110" w:type="dxa"/>
            <w:tcBorders/>
            <w:shd w:fill="CCEEFF" w:val="clear"/>
            <w:vAlign w:val="center"/>
          </w:tcPr>
          <w:p>
            <w:pPr>
              <w:pStyle w:val="TableContents"/>
              <w:bidi w:val="0"/>
              <w:spacing w:before="0" w:after="283"/>
              <w:jc w:val="left"/>
              <w:rPr/>
            </w:pPr>
            <w:r>
              <w:rPr/>
              <w:t>)</w:t>
            </w:r>
            <w:bookmarkStart w:id="226" w:name="xdx_407_eus-gaap--IncreaseDecreaseInAccr"/>
            <w:bookmarkEnd w:id="226"/>
          </w:p>
        </w:tc>
      </w:tr>
      <w:tr>
        <w:trPr/>
        <w:tc>
          <w:tcPr>
            <w:tcW w:w="6875" w:type="dxa"/>
            <w:tcBorders/>
            <w:shd w:fill="FFFFFF" w:val="clear"/>
            <w:vAlign w:val="center"/>
          </w:tcPr>
          <w:p>
            <w:pPr>
              <w:pStyle w:val="TableContents"/>
              <w:bidi w:val="0"/>
              <w:spacing w:before="0" w:after="283"/>
              <w:jc w:val="both"/>
              <w:rPr/>
            </w:pPr>
            <w:r>
              <w:rPr/>
              <w:t>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pPr>
            <w:r>
              <w:rPr/>
              <w:t>119</w:t>
            </w:r>
          </w:p>
        </w:tc>
        <w:tc>
          <w:tcPr>
            <w:tcW w:w="18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(472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bookmarkStart w:id="227" w:name="xdx_98A_eus-gaap--IncreaseDecreaseInAccr"/>
            <w:bookmarkEnd w:id="227"/>
          </w:p>
        </w:tc>
        <w:tc>
          <w:tcPr>
            <w:tcW w:w="813" w:type="dxa"/>
            <w:tcBorders/>
            <w:shd w:fill="FFFFFF" w:val="clear"/>
            <w:vAlign w:val="center"/>
          </w:tcPr>
          <w:p>
            <w:pPr>
              <w:pStyle w:val="TableContents"/>
              <w:bidi w:val="0"/>
              <w:spacing w:before="0" w:after="283"/>
              <w:jc w:val="right"/>
              <w:rPr/>
            </w:pPr>
            <w:r>
              <w:rPr/>
              <w:t>(372</w:t>
            </w:r>
          </w:p>
        </w:tc>
        <w:tc>
          <w:tcPr>
            <w:tcW w:w="110" w:type="dxa"/>
            <w:tcBorders/>
            <w:shd w:fill="FFFFFF" w:val="clear"/>
            <w:vAlign w:val="center"/>
          </w:tcPr>
          <w:p>
            <w:pPr>
              <w:pStyle w:val="TableContents"/>
              <w:bidi w:val="0"/>
              <w:spacing w:before="0" w:after="283"/>
              <w:jc w:val="left"/>
              <w:rPr/>
            </w:pPr>
            <w:r>
              <w:rPr/>
              <w:t>)</w:t>
            </w:r>
            <w:bookmarkStart w:id="228" w:name="xdx_40D_eus-gaap--IncreaseDecreaseInAccr"/>
            <w:bookmarkEnd w:id="228"/>
          </w:p>
        </w:tc>
      </w:tr>
      <w:tr>
        <w:trPr/>
        <w:tc>
          <w:tcPr>
            <w:tcW w:w="6875" w:type="dxa"/>
            <w:tcBorders/>
            <w:shd w:fill="CCEEFF" w:val="clear"/>
            <w:vAlign w:val="center"/>
          </w:tcPr>
          <w:p>
            <w:pPr>
              <w:pStyle w:val="TableContents"/>
              <w:bidi w:val="0"/>
              <w:spacing w:before="0" w:after="283"/>
              <w:jc w:val="both"/>
              <w:rPr/>
            </w:pPr>
            <w:r>
              <w:rPr/>
              <w:t>Income tax payable</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8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29" w:name="xdx_98A_eus-gaap--IncreaseDecreaseInAccr"/>
            <w:bookmarkEnd w:id="229"/>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pPr>
            <w:r>
              <w:rPr/>
              <w:t>(6</w:t>
            </w:r>
          </w:p>
        </w:tc>
        <w:tc>
          <w:tcPr>
            <w:tcW w:w="110" w:type="dxa"/>
            <w:tcBorders/>
            <w:shd w:fill="CCEEFF" w:val="clear"/>
            <w:vAlign w:val="center"/>
          </w:tcPr>
          <w:p>
            <w:pPr>
              <w:pStyle w:val="TableContents"/>
              <w:bidi w:val="0"/>
              <w:spacing w:before="0" w:after="283"/>
              <w:jc w:val="left"/>
              <w:rPr/>
            </w:pPr>
            <w:r>
              <w:rPr/>
              <w:t>)</w:t>
            </w:r>
            <w:bookmarkStart w:id="230" w:name="xdx_40B_eus-gaap--NetCashProvidedByUsedI"/>
            <w:bookmarkEnd w:id="230"/>
          </w:p>
        </w:tc>
      </w:tr>
      <w:tr>
        <w:trPr/>
        <w:tc>
          <w:tcPr>
            <w:tcW w:w="6875" w:type="dxa"/>
            <w:tcBorders/>
            <w:shd w:fill="FFFFFF" w:val="clear"/>
            <w:vAlign w:val="center"/>
          </w:tcPr>
          <w:p>
            <w:pPr>
              <w:pStyle w:val="TableContents"/>
              <w:bidi w:val="0"/>
              <w:spacing w:before="0" w:after="283"/>
              <w:jc w:val="both"/>
              <w:rPr>
                <w:b/>
              </w:rPr>
            </w:pPr>
            <w:r>
              <w:rPr>
                <w:b/>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7" w:type="dxa"/>
            <w:tcBorders>
              <w:bottom w:val="single" w:sz="8" w:space="0" w:color="000000"/>
            </w:tcBorders>
            <w:shd w:fill="FFFFFF" w:val="clear"/>
            <w:tcMar>
              <w:bottom w:w="28" w:type="dxa"/>
            </w:tcMar>
            <w:vAlign w:val="center"/>
          </w:tcPr>
          <w:p>
            <w:pPr>
              <w:pStyle w:val="TableContents"/>
              <w:bidi w:val="0"/>
              <w:spacing w:before="0" w:after="283"/>
              <w:jc w:val="right"/>
              <w:rPr/>
            </w:pPr>
            <w:r>
              <w:rPr/>
              <w:t>(254</w:t>
            </w:r>
          </w:p>
        </w:tc>
        <w:tc>
          <w:tcPr>
            <w:tcW w:w="189" w:type="dxa"/>
            <w:tcBorders/>
            <w:shd w:fill="FFFFFF" w:val="clear"/>
            <w:vAlign w:val="center"/>
          </w:tcPr>
          <w:p>
            <w:pPr>
              <w:pStyle w:val="TableContents"/>
              <w:bidi w:val="0"/>
              <w:spacing w:before="0" w:after="283"/>
              <w:jc w:val="left"/>
              <w:rPr/>
            </w:pPr>
            <w:r>
              <w:rPr/>
              <w:t>)</w:t>
            </w:r>
          </w:p>
        </w:tc>
        <w:tc>
          <w:tcPr>
            <w:tcW w:w="81"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pPr>
            <w:r>
              <w:rPr/>
              <w:t>(3,969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31" w:name="xdx_98F_eus-gaap--NetCashProvidedByUsedI"/>
            <w:bookmarkEnd w:id="231"/>
          </w:p>
        </w:tc>
        <w:tc>
          <w:tcPr>
            <w:tcW w:w="813" w:type="dxa"/>
            <w:tcBorders>
              <w:bottom w:val="single" w:sz="8" w:space="0" w:color="000000"/>
            </w:tcBorders>
            <w:shd w:fill="FFFFFF" w:val="clear"/>
            <w:tcMar>
              <w:bottom w:w="28" w:type="dxa"/>
            </w:tcMar>
            <w:vAlign w:val="center"/>
          </w:tcPr>
          <w:p>
            <w:pPr>
              <w:pStyle w:val="TableContents"/>
              <w:bidi w:val="0"/>
              <w:spacing w:before="0" w:after="283"/>
              <w:jc w:val="right"/>
              <w:rPr/>
            </w:pPr>
            <w:r>
              <w:rPr/>
              <w:t>(3,072</w:t>
            </w:r>
          </w:p>
        </w:tc>
        <w:tc>
          <w:tcPr>
            <w:tcW w:w="110" w:type="dxa"/>
            <w:tcBorders/>
            <w:shd w:fill="FFFFFF" w:val="clear"/>
            <w:vAlign w:val="center"/>
          </w:tcPr>
          <w:p>
            <w:pPr>
              <w:pStyle w:val="TableContents"/>
              <w:bidi w:val="0"/>
              <w:spacing w:before="0" w:after="283"/>
              <w:jc w:val="left"/>
              <w:rPr/>
            </w:pPr>
            <w:r>
              <w:rPr/>
              <w:t>)</w:t>
            </w:r>
          </w:p>
        </w:tc>
      </w:tr>
      <w:tr>
        <w:trPr/>
        <w:tc>
          <w:tcPr>
            <w:tcW w:w="687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pPr>
            <w:r>
              <w:rPr/>
              <w:t> </w:t>
            </w:r>
          </w:p>
        </w:tc>
        <w:tc>
          <w:tcPr>
            <w:tcW w:w="18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32" w:name="xdx_40C_eus-gaap--NetCashProvidedByUsedI"/>
            <w:bookmarkEnd w:id="232"/>
          </w:p>
        </w:tc>
      </w:tr>
      <w:tr>
        <w:trPr/>
        <w:tc>
          <w:tcPr>
            <w:tcW w:w="6875" w:type="dxa"/>
            <w:tcBorders/>
            <w:shd w:fill="FFFFFF" w:val="clear"/>
            <w:vAlign w:val="center"/>
          </w:tcPr>
          <w:p>
            <w:pPr>
              <w:pStyle w:val="TableContents"/>
              <w:bidi w:val="0"/>
              <w:spacing w:before="0" w:after="283"/>
              <w:jc w:val="both"/>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33" w:name="xdx_40D_ecustom--ProceedsFromInterestInc"/>
            <w:bookmarkEnd w:id="233"/>
          </w:p>
        </w:tc>
      </w:tr>
      <w:tr>
        <w:trPr/>
        <w:tc>
          <w:tcPr>
            <w:tcW w:w="6875" w:type="dxa"/>
            <w:tcBorders/>
            <w:shd w:fill="CCEEFF" w:val="clear"/>
            <w:vAlign w:val="center"/>
          </w:tcPr>
          <w:p>
            <w:pPr>
              <w:pStyle w:val="TableContents"/>
              <w:bidi w:val="0"/>
              <w:spacing w:before="0" w:after="283"/>
              <w:jc w:val="both"/>
              <w:rPr/>
            </w:pPr>
            <w:r>
              <w:rPr/>
              <w:t>Interest income</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pPr>
            <w:r>
              <w:rPr/>
              <w:t>-</w:t>
            </w:r>
            <w:bookmarkStart w:id="234" w:name="xdx_F2E_zaNu17DdaZD1"/>
            <w:bookmarkEnd w:id="234"/>
            <w:r>
              <w:rPr>
                <w:rFonts w:ascii="Times New Roman;Times;Serif" w:hAnsi="Times New Roman;Times;Serif"/>
                <w:sz w:val="20"/>
              </w:rPr>
              <w:t>*</w:t>
            </w:r>
          </w:p>
        </w:tc>
        <w:tc>
          <w:tcPr>
            <w:tcW w:w="189" w:type="dxa"/>
            <w:tcBorders/>
            <w:shd w:fill="CCEEFF" w:val="clear"/>
            <w:vAlign w:val="center"/>
          </w:tcPr>
          <w:p>
            <w:pPr>
              <w:pStyle w:val="TableContents"/>
              <w:bidi w:val="0"/>
              <w:spacing w:before="0" w:after="283"/>
              <w:jc w:val="left"/>
              <w:rPr/>
            </w:pPr>
            <w:r>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bookmarkStart w:id="235" w:name="xdx_98E_ecustom--ProceedsFromInterestInc"/>
            <w:bookmarkEnd w:id="235"/>
          </w:p>
        </w:tc>
        <w:tc>
          <w:tcPr>
            <w:tcW w:w="813" w:type="dxa"/>
            <w:tcBorders/>
            <w:shd w:fill="CCEEFF" w:val="clear"/>
            <w:vAlign w:val="center"/>
          </w:tcPr>
          <w:p>
            <w:pPr>
              <w:pStyle w:val="TableContents"/>
              <w:bidi w:val="0"/>
              <w:spacing w:before="0" w:after="283"/>
              <w:jc w:val="right"/>
              <w:rPr/>
            </w:pPr>
            <w:r>
              <w:rPr/>
              <w:t>16</w:t>
            </w:r>
          </w:p>
        </w:tc>
        <w:tc>
          <w:tcPr>
            <w:tcW w:w="110" w:type="dxa"/>
            <w:tcBorders/>
            <w:shd w:fill="CCEEFF" w:val="clear"/>
            <w:vAlign w:val="center"/>
          </w:tcPr>
          <w:p>
            <w:pPr>
              <w:pStyle w:val="TableContents"/>
              <w:bidi w:val="0"/>
              <w:spacing w:before="0" w:after="283"/>
              <w:jc w:val="left"/>
              <w:rPr/>
            </w:pPr>
            <w:r>
              <w:rPr/>
              <w:t> </w:t>
            </w:r>
            <w:bookmarkStart w:id="236" w:name="xdx_40F_eus-gaap--PaymentsToAcquirePrope"/>
            <w:bookmarkEnd w:id="236"/>
          </w:p>
        </w:tc>
      </w:tr>
      <w:tr>
        <w:trPr/>
        <w:tc>
          <w:tcPr>
            <w:tcW w:w="6875" w:type="dxa"/>
            <w:tcBorders/>
            <w:shd w:fill="FFFFFF" w:val="clear"/>
            <w:vAlign w:val="center"/>
          </w:tcPr>
          <w:p>
            <w:pPr>
              <w:pStyle w:val="TableContents"/>
              <w:bidi w:val="0"/>
              <w:spacing w:before="0" w:after="283"/>
              <w:jc w:val="both"/>
              <w:rPr/>
            </w:pPr>
            <w:r>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pPr>
            <w:r>
              <w:rPr/>
              <w:t>-</w:t>
            </w:r>
            <w:bookmarkStart w:id="237" w:name="xdx_F25_zipDgiaexAd8"/>
            <w:bookmarkEnd w:id="237"/>
            <w:r>
              <w:rPr>
                <w:rFonts w:ascii="Times New Roman;Times;Serif" w:hAnsi="Times New Roman;Times;Serif"/>
                <w:sz w:val="20"/>
              </w:rPr>
              <w:t>*</w:t>
            </w:r>
          </w:p>
        </w:tc>
        <w:tc>
          <w:tcPr>
            <w:tcW w:w="189" w:type="dxa"/>
            <w:tcBorders/>
            <w:shd w:fill="FFFFFF" w:val="clear"/>
            <w:vAlign w:val="center"/>
          </w:tcPr>
          <w:p>
            <w:pPr>
              <w:pStyle w:val="TableContents"/>
              <w:bidi w:val="0"/>
              <w:spacing w:before="0" w:after="283"/>
              <w:jc w:val="left"/>
              <w:rPr/>
            </w:pPr>
            <w:r>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bookmarkStart w:id="238" w:name="xdx_98C_eus-gaap--PaymentsToAcquirePrope"/>
            <w:bookmarkEnd w:id="238"/>
          </w:p>
        </w:tc>
        <w:tc>
          <w:tcPr>
            <w:tcW w:w="813" w:type="dxa"/>
            <w:tcBorders/>
            <w:shd w:fill="FFFFFF" w:val="clear"/>
            <w:vAlign w:val="center"/>
          </w:tcPr>
          <w:p>
            <w:pPr>
              <w:pStyle w:val="TableContents"/>
              <w:bidi w:val="0"/>
              <w:spacing w:before="0" w:after="283"/>
              <w:jc w:val="right"/>
              <w:rPr/>
            </w:pPr>
            <w:r>
              <w:rPr/>
              <w:t>(8</w:t>
            </w:r>
          </w:p>
        </w:tc>
        <w:tc>
          <w:tcPr>
            <w:tcW w:w="110" w:type="dxa"/>
            <w:tcBorders/>
            <w:shd w:fill="FFFFFF" w:val="clear"/>
            <w:vAlign w:val="center"/>
          </w:tcPr>
          <w:p>
            <w:pPr>
              <w:pStyle w:val="TableContents"/>
              <w:bidi w:val="0"/>
              <w:spacing w:before="0" w:after="283"/>
              <w:jc w:val="left"/>
              <w:rPr/>
            </w:pPr>
            <w:r>
              <w:rPr/>
              <w:t>)</w:t>
            </w:r>
            <w:bookmarkStart w:id="239" w:name="xdx_40D_eus-gaap--PaymentsToAcquireOther"/>
            <w:bookmarkEnd w:id="239"/>
          </w:p>
        </w:tc>
      </w:tr>
      <w:tr>
        <w:trPr/>
        <w:tc>
          <w:tcPr>
            <w:tcW w:w="6875" w:type="dxa"/>
            <w:tcBorders/>
            <w:shd w:fill="CCEEFF" w:val="clear"/>
            <w:vAlign w:val="center"/>
          </w:tcPr>
          <w:p>
            <w:pPr>
              <w:pStyle w:val="TableContents"/>
              <w:bidi w:val="0"/>
              <w:spacing w:before="0" w:after="283"/>
              <w:jc w:val="both"/>
              <w:rPr/>
            </w:pPr>
            <w:r>
              <w:rPr/>
              <w:t>Purchase of intangible asset</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7" w:type="dxa"/>
            <w:tcBorders>
              <w:bottom w:val="single" w:sz="8" w:space="0" w:color="000000"/>
            </w:tcBorders>
            <w:shd w:fill="CCEEFF" w:val="clear"/>
            <w:tcMar>
              <w:bottom w:w="28" w:type="dxa"/>
            </w:tcMar>
            <w:vAlign w:val="center"/>
          </w:tcPr>
          <w:p>
            <w:pPr>
              <w:pStyle w:val="TableContents"/>
              <w:bidi w:val="0"/>
              <w:spacing w:before="0" w:after="283"/>
              <w:jc w:val="right"/>
              <w:rPr/>
            </w:pPr>
            <w:r>
              <w:rPr/>
              <w:t>(31</w:t>
            </w:r>
          </w:p>
        </w:tc>
        <w:tc>
          <w:tcPr>
            <w:tcW w:w="189" w:type="dxa"/>
            <w:tcBorders/>
            <w:shd w:fill="CCEEFF" w:val="clear"/>
            <w:vAlign w:val="center"/>
          </w:tcPr>
          <w:p>
            <w:pPr>
              <w:pStyle w:val="TableContents"/>
              <w:bidi w:val="0"/>
              <w:spacing w:before="0" w:after="283"/>
              <w:jc w:val="left"/>
              <w:rPr/>
            </w:pPr>
            <w:r>
              <w:rPr/>
              <w:t>)</w:t>
            </w:r>
          </w:p>
        </w:tc>
        <w:tc>
          <w:tcPr>
            <w:tcW w:w="81"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pPr>
            <w:r>
              <w:rPr/>
              <w:t>(36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40" w:name="xdx_988_eus-gaap--PaymentsToAcquireOther"/>
            <w:bookmarkEnd w:id="240"/>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pPr>
            <w:r>
              <w:rPr/>
              <w:t>(28</w:t>
            </w:r>
          </w:p>
        </w:tc>
        <w:tc>
          <w:tcPr>
            <w:tcW w:w="110" w:type="dxa"/>
            <w:tcBorders/>
            <w:shd w:fill="CCEEFF" w:val="clear"/>
            <w:vAlign w:val="center"/>
          </w:tcPr>
          <w:p>
            <w:pPr>
              <w:pStyle w:val="TableContents"/>
              <w:bidi w:val="0"/>
              <w:spacing w:before="0" w:after="283"/>
              <w:jc w:val="left"/>
              <w:rPr/>
            </w:pPr>
            <w:r>
              <w:rPr/>
              <w:t>)</w:t>
            </w:r>
            <w:bookmarkStart w:id="241" w:name="xdx_405_eus-gaap--NetCashProvidedByUsedI"/>
            <w:bookmarkEnd w:id="241"/>
          </w:p>
        </w:tc>
      </w:tr>
      <w:tr>
        <w:trPr/>
        <w:tc>
          <w:tcPr>
            <w:tcW w:w="6875" w:type="dxa"/>
            <w:tcBorders/>
            <w:shd w:fill="FFFFFF" w:val="clear"/>
            <w:vAlign w:val="center"/>
          </w:tcPr>
          <w:p>
            <w:pPr>
              <w:pStyle w:val="TableContents"/>
              <w:bidi w:val="0"/>
              <w:spacing w:before="0" w:after="283"/>
              <w:jc w:val="both"/>
              <w:rPr>
                <w:b/>
              </w:rPr>
            </w:pPr>
            <w:r>
              <w:rPr>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7" w:type="dxa"/>
            <w:tcBorders>
              <w:bottom w:val="single" w:sz="8" w:space="0" w:color="000000"/>
            </w:tcBorders>
            <w:shd w:fill="FFFFFF" w:val="clear"/>
            <w:tcMar>
              <w:bottom w:w="28" w:type="dxa"/>
            </w:tcMar>
            <w:vAlign w:val="center"/>
          </w:tcPr>
          <w:p>
            <w:pPr>
              <w:pStyle w:val="TableContents"/>
              <w:bidi w:val="0"/>
              <w:spacing w:before="0" w:after="283"/>
              <w:jc w:val="right"/>
              <w:rPr/>
            </w:pPr>
            <w:r>
              <w:rPr/>
              <w:t>(31</w:t>
            </w:r>
          </w:p>
        </w:tc>
        <w:tc>
          <w:tcPr>
            <w:tcW w:w="189" w:type="dxa"/>
            <w:tcBorders/>
            <w:shd w:fill="FFFFFF" w:val="clear"/>
            <w:vAlign w:val="center"/>
          </w:tcPr>
          <w:p>
            <w:pPr>
              <w:pStyle w:val="TableContents"/>
              <w:bidi w:val="0"/>
              <w:spacing w:before="0" w:after="283"/>
              <w:jc w:val="left"/>
              <w:rPr/>
            </w:pPr>
            <w:r>
              <w:rPr/>
              <w:t>)</w:t>
            </w:r>
          </w:p>
        </w:tc>
        <w:tc>
          <w:tcPr>
            <w:tcW w:w="81"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pPr>
            <w:r>
              <w:rPr/>
              <w:t>(26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42" w:name="xdx_98F_eus-gaap--NetCashProvidedByUsedI"/>
            <w:bookmarkEnd w:id="242"/>
          </w:p>
        </w:tc>
        <w:tc>
          <w:tcPr>
            <w:tcW w:w="813" w:type="dxa"/>
            <w:tcBorders>
              <w:bottom w:val="single" w:sz="8" w:space="0" w:color="000000"/>
            </w:tcBorders>
            <w:shd w:fill="FFFFFF" w:val="clear"/>
            <w:tcMar>
              <w:bottom w:w="28" w:type="dxa"/>
            </w:tcMar>
            <w:vAlign w:val="center"/>
          </w:tcPr>
          <w:p>
            <w:pPr>
              <w:pStyle w:val="TableContents"/>
              <w:bidi w:val="0"/>
              <w:spacing w:before="0" w:after="283"/>
              <w:jc w:val="right"/>
              <w:rPr/>
            </w:pPr>
            <w:r>
              <w:rPr/>
              <w:t>(20</w:t>
            </w:r>
          </w:p>
        </w:tc>
        <w:tc>
          <w:tcPr>
            <w:tcW w:w="110" w:type="dxa"/>
            <w:tcBorders/>
            <w:shd w:fill="FFFFFF" w:val="clear"/>
            <w:vAlign w:val="center"/>
          </w:tcPr>
          <w:p>
            <w:pPr>
              <w:pStyle w:val="TableContents"/>
              <w:bidi w:val="0"/>
              <w:spacing w:before="0" w:after="283"/>
              <w:jc w:val="left"/>
              <w:rPr/>
            </w:pPr>
            <w:r>
              <w:rPr/>
              <w:t>)</w:t>
            </w:r>
          </w:p>
        </w:tc>
      </w:tr>
      <w:tr>
        <w:trPr/>
        <w:tc>
          <w:tcPr>
            <w:tcW w:w="687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pPr>
            <w:r>
              <w:rPr/>
              <w:t> </w:t>
            </w:r>
          </w:p>
        </w:tc>
        <w:tc>
          <w:tcPr>
            <w:tcW w:w="18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3" w:name="xdx_40C_eus-gaap--NetCashProvidedByUsedI"/>
            <w:bookmarkEnd w:id="243"/>
          </w:p>
        </w:tc>
      </w:tr>
      <w:tr>
        <w:trPr/>
        <w:tc>
          <w:tcPr>
            <w:tcW w:w="6875" w:type="dxa"/>
            <w:tcBorders/>
            <w:shd w:fill="FFFFFF" w:val="clear"/>
            <w:vAlign w:val="center"/>
          </w:tcPr>
          <w:p>
            <w:pPr>
              <w:pStyle w:val="TableContents"/>
              <w:bidi w:val="0"/>
              <w:spacing w:before="0" w:after="283"/>
              <w:jc w:val="both"/>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4" w:name="xdx_40D_eus-gaap--ProceedsFromRepayments"/>
            <w:bookmarkEnd w:id="244"/>
          </w:p>
        </w:tc>
      </w:tr>
      <w:tr>
        <w:trPr/>
        <w:tc>
          <w:tcPr>
            <w:tcW w:w="6875" w:type="dxa"/>
            <w:tcBorders/>
            <w:shd w:fill="CCEEFF" w:val="clear"/>
            <w:vAlign w:val="center"/>
          </w:tcPr>
          <w:p>
            <w:pPr>
              <w:pStyle w:val="TableContents"/>
              <w:bidi w:val="0"/>
              <w:spacing w:before="0" w:after="283"/>
              <w:jc w:val="both"/>
              <w:rPr/>
            </w:pPr>
            <w:r>
              <w:rPr/>
              <w:t>Amount due from (to) director</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pPr>
            <w:r>
              <w:rPr/>
              <w:t>530</w:t>
            </w:r>
          </w:p>
        </w:tc>
        <w:tc>
          <w:tcPr>
            <w:tcW w:w="18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(216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bookmarkStart w:id="245" w:name="xdx_982_eus-gaap--ProceedsFromRepayments"/>
            <w:bookmarkEnd w:id="245"/>
          </w:p>
        </w:tc>
        <w:tc>
          <w:tcPr>
            <w:tcW w:w="813" w:type="dxa"/>
            <w:tcBorders/>
            <w:shd w:fill="CCEEFF" w:val="clear"/>
            <w:vAlign w:val="center"/>
          </w:tcPr>
          <w:p>
            <w:pPr>
              <w:pStyle w:val="TableContents"/>
              <w:bidi w:val="0"/>
              <w:spacing w:before="0" w:after="283"/>
              <w:jc w:val="right"/>
              <w:rPr/>
            </w:pPr>
            <w:r>
              <w:rPr/>
              <w:t>(169</w:t>
            </w:r>
          </w:p>
        </w:tc>
        <w:tc>
          <w:tcPr>
            <w:tcW w:w="110" w:type="dxa"/>
            <w:tcBorders/>
            <w:shd w:fill="CCEEFF" w:val="clear"/>
            <w:vAlign w:val="center"/>
          </w:tcPr>
          <w:p>
            <w:pPr>
              <w:pStyle w:val="TableContents"/>
              <w:bidi w:val="0"/>
              <w:spacing w:before="0" w:after="283"/>
              <w:jc w:val="left"/>
              <w:rPr/>
            </w:pPr>
            <w:r>
              <w:rPr/>
              <w:t>)</w:t>
            </w:r>
            <w:bookmarkStart w:id="246" w:name="xdx_40E_eus-gaap--ProceedsFromIssuanceOf"/>
            <w:bookmarkEnd w:id="246"/>
          </w:p>
        </w:tc>
      </w:tr>
      <w:tr>
        <w:trPr/>
        <w:tc>
          <w:tcPr>
            <w:tcW w:w="6875" w:type="dxa"/>
            <w:tcBorders/>
            <w:shd w:fill="FFFFFF" w:val="clear"/>
            <w:vAlign w:val="center"/>
          </w:tcPr>
          <w:p>
            <w:pPr>
              <w:pStyle w:val="TableContents"/>
              <w:bidi w:val="0"/>
              <w:spacing w:before="0" w:after="283"/>
              <w:jc w:val="left"/>
              <w:rPr/>
            </w:pPr>
            <w:r>
              <w:rPr/>
              <w:t>Proceeds from issuance of share capital</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pPr>
            <w:r>
              <w:rPr/>
              <w:t>-</w:t>
            </w:r>
          </w:p>
        </w:tc>
        <w:tc>
          <w:tcPr>
            <w:tcW w:w="18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5,377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bookmarkStart w:id="247" w:name="xdx_988_eus-gaap--ProceedsFromIssuanceOf"/>
            <w:bookmarkEnd w:id="247"/>
          </w:p>
        </w:tc>
        <w:tc>
          <w:tcPr>
            <w:tcW w:w="813" w:type="dxa"/>
            <w:tcBorders/>
            <w:shd w:fill="FFFFFF" w:val="clear"/>
            <w:vAlign w:val="center"/>
          </w:tcPr>
          <w:p>
            <w:pPr>
              <w:pStyle w:val="TableContents"/>
              <w:bidi w:val="0"/>
              <w:spacing w:before="0" w:after="283"/>
              <w:jc w:val="right"/>
              <w:rPr/>
            </w:pPr>
            <w:r>
              <w:rPr/>
              <w:t>4,141</w:t>
            </w:r>
          </w:p>
        </w:tc>
        <w:tc>
          <w:tcPr>
            <w:tcW w:w="110" w:type="dxa"/>
            <w:tcBorders/>
            <w:shd w:fill="FFFFFF" w:val="clear"/>
            <w:vAlign w:val="center"/>
          </w:tcPr>
          <w:p>
            <w:pPr>
              <w:pStyle w:val="TableContents"/>
              <w:bidi w:val="0"/>
              <w:spacing w:before="0" w:after="283"/>
              <w:jc w:val="left"/>
              <w:rPr/>
            </w:pPr>
            <w:r>
              <w:rPr/>
              <w:t> </w:t>
            </w:r>
            <w:bookmarkStart w:id="248" w:name="xdx_405_eus-gaap--RepaymentsOfBankDebt_i"/>
            <w:bookmarkEnd w:id="248"/>
          </w:p>
        </w:tc>
      </w:tr>
      <w:tr>
        <w:trPr/>
        <w:tc>
          <w:tcPr>
            <w:tcW w:w="6875" w:type="dxa"/>
            <w:tcBorders/>
            <w:shd w:fill="CCEEFF" w:val="clear"/>
            <w:vAlign w:val="center"/>
          </w:tcPr>
          <w:p>
            <w:pPr>
              <w:pStyle w:val="TableContents"/>
              <w:bidi w:val="0"/>
              <w:spacing w:before="0" w:after="283"/>
              <w:jc w:val="both"/>
              <w:rPr/>
            </w:pPr>
            <w:r>
              <w:rPr/>
              <w:t>Repayment of bank borrowings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pPr>
            <w:r>
              <w:rPr/>
              <w:t>(57</w:t>
            </w:r>
          </w:p>
        </w:tc>
        <w:tc>
          <w:tcPr>
            <w:tcW w:w="189" w:type="dxa"/>
            <w:tcBorders/>
            <w:shd w:fill="CCEEFF" w:val="clear"/>
            <w:vAlign w:val="center"/>
          </w:tcPr>
          <w:p>
            <w:pPr>
              <w:pStyle w:val="TableContents"/>
              <w:bidi w:val="0"/>
              <w:spacing w:before="0" w:after="283"/>
              <w:jc w:val="left"/>
              <w:rPr/>
            </w:pPr>
            <w:r>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bookmarkStart w:id="249" w:name="xdx_98E_eus-gaap--RepaymentsOfBankDebt_i"/>
            <w:bookmarkEnd w:id="249"/>
          </w:p>
        </w:tc>
        <w:tc>
          <w:tcPr>
            <w:tcW w:w="813" w:type="dxa"/>
            <w:tcBorders/>
            <w:shd w:fill="CCEEFF" w:val="clear"/>
            <w:vAlign w:val="center"/>
          </w:tcPr>
          <w:p>
            <w:pPr>
              <w:pStyle w:val="TableContents"/>
              <w:bidi w:val="0"/>
              <w:spacing w:before="0" w:after="283"/>
              <w:jc w:val="right"/>
              <w:rPr/>
            </w:pPr>
            <w:r>
              <w:rPr/>
              <w:t>(7</w:t>
            </w:r>
          </w:p>
        </w:tc>
        <w:tc>
          <w:tcPr>
            <w:tcW w:w="110" w:type="dxa"/>
            <w:tcBorders/>
            <w:shd w:fill="CCEEFF" w:val="clear"/>
            <w:vAlign w:val="center"/>
          </w:tcPr>
          <w:p>
            <w:pPr>
              <w:pStyle w:val="TableContents"/>
              <w:bidi w:val="0"/>
              <w:spacing w:before="0" w:after="283"/>
              <w:jc w:val="left"/>
              <w:rPr/>
            </w:pPr>
            <w:r>
              <w:rPr/>
              <w:t>)</w:t>
            </w:r>
            <w:bookmarkStart w:id="250" w:name="xdx_40F_ecustom--PaymentsForInterestPaid"/>
            <w:bookmarkEnd w:id="250"/>
          </w:p>
        </w:tc>
      </w:tr>
      <w:tr>
        <w:trPr/>
        <w:tc>
          <w:tcPr>
            <w:tcW w:w="6875" w:type="dxa"/>
            <w:tcBorders/>
            <w:shd w:fill="FFFFFF" w:val="clear"/>
            <w:vAlign w:val="center"/>
          </w:tcPr>
          <w:p>
            <w:pPr>
              <w:pStyle w:val="TableContents"/>
              <w:bidi w:val="0"/>
              <w:spacing w:before="0" w:after="283"/>
              <w:jc w:val="both"/>
              <w:rPr/>
            </w:pPr>
            <w:r>
              <w:rPr/>
              <w:t>Interest paid on bank borrowings</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pPr>
            <w:r>
              <w:rPr/>
              <w:t>(10</w:t>
            </w:r>
          </w:p>
        </w:tc>
        <w:tc>
          <w:tcPr>
            <w:tcW w:w="189" w:type="dxa"/>
            <w:tcBorders/>
            <w:shd w:fill="FFFFFF" w:val="clear"/>
            <w:vAlign w:val="center"/>
          </w:tcPr>
          <w:p>
            <w:pPr>
              <w:pStyle w:val="TableContents"/>
              <w:bidi w:val="0"/>
              <w:spacing w:before="0" w:after="283"/>
              <w:jc w:val="left"/>
              <w:rPr/>
            </w:pPr>
            <w:r>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bookmarkStart w:id="251" w:name="xdx_98E_ecustom--PaymentsForInterestPaid"/>
            <w:bookmarkEnd w:id="251"/>
          </w:p>
        </w:tc>
        <w:tc>
          <w:tcPr>
            <w:tcW w:w="813" w:type="dxa"/>
            <w:tcBorders/>
            <w:shd w:fill="FFFFFF" w:val="clear"/>
            <w:vAlign w:val="center"/>
          </w:tcPr>
          <w:p>
            <w:pPr>
              <w:pStyle w:val="TableContents"/>
              <w:bidi w:val="0"/>
              <w:spacing w:before="0" w:after="283"/>
              <w:jc w:val="right"/>
              <w:rPr/>
            </w:pPr>
            <w:r>
              <w:rPr/>
              <w:t>(4</w:t>
            </w:r>
          </w:p>
        </w:tc>
        <w:tc>
          <w:tcPr>
            <w:tcW w:w="110" w:type="dxa"/>
            <w:tcBorders/>
            <w:shd w:fill="FFFFFF" w:val="clear"/>
            <w:vAlign w:val="center"/>
          </w:tcPr>
          <w:p>
            <w:pPr>
              <w:pStyle w:val="TableContents"/>
              <w:bidi w:val="0"/>
              <w:spacing w:before="0" w:after="283"/>
              <w:jc w:val="left"/>
              <w:rPr/>
            </w:pPr>
            <w:r>
              <w:rPr/>
              <w:t>)</w:t>
            </w:r>
            <w:bookmarkStart w:id="252" w:name="xdx_402_ecustom--PrincipalPaymentOfLease"/>
            <w:bookmarkEnd w:id="252"/>
          </w:p>
        </w:tc>
      </w:tr>
      <w:tr>
        <w:trPr/>
        <w:tc>
          <w:tcPr>
            <w:tcW w:w="6875" w:type="dxa"/>
            <w:tcBorders/>
            <w:shd w:fill="CCEEFF" w:val="clear"/>
            <w:vAlign w:val="center"/>
          </w:tcPr>
          <w:p>
            <w:pPr>
              <w:pStyle w:val="TableContents"/>
              <w:bidi w:val="0"/>
              <w:spacing w:before="0" w:after="283"/>
              <w:jc w:val="both"/>
              <w:rPr/>
            </w:pPr>
            <w:r>
              <w:rPr/>
              <w:t>Principal payment of lease liabilities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pPr>
            <w:r>
              <w:rPr/>
              <w:t>(18</w:t>
            </w:r>
          </w:p>
        </w:tc>
        <w:tc>
          <w:tcPr>
            <w:tcW w:w="189" w:type="dxa"/>
            <w:tcBorders/>
            <w:shd w:fill="CCEEFF" w:val="clear"/>
            <w:vAlign w:val="center"/>
          </w:tcPr>
          <w:p>
            <w:pPr>
              <w:pStyle w:val="TableContents"/>
              <w:bidi w:val="0"/>
              <w:spacing w:before="0" w:after="283"/>
              <w:jc w:val="left"/>
              <w:rPr/>
            </w:pPr>
            <w:r>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bookmarkStart w:id="253" w:name="xdx_987_ecustom--PrincipalPaymentOfLease"/>
            <w:bookmarkEnd w:id="253"/>
          </w:p>
        </w:tc>
        <w:tc>
          <w:tcPr>
            <w:tcW w:w="813" w:type="dxa"/>
            <w:tcBorders/>
            <w:shd w:fill="CCEEFF" w:val="clear"/>
            <w:vAlign w:val="center"/>
          </w:tcPr>
          <w:p>
            <w:pPr>
              <w:pStyle w:val="TableContents"/>
              <w:bidi w:val="0"/>
              <w:spacing w:before="0" w:after="283"/>
              <w:jc w:val="right"/>
              <w:rPr/>
            </w:pPr>
            <w:r>
              <w:rPr/>
              <w:t>(15</w:t>
            </w:r>
          </w:p>
        </w:tc>
        <w:tc>
          <w:tcPr>
            <w:tcW w:w="110" w:type="dxa"/>
            <w:tcBorders/>
            <w:shd w:fill="CCEEFF" w:val="clear"/>
            <w:vAlign w:val="center"/>
          </w:tcPr>
          <w:p>
            <w:pPr>
              <w:pStyle w:val="TableContents"/>
              <w:bidi w:val="0"/>
              <w:spacing w:before="0" w:after="283"/>
              <w:jc w:val="left"/>
              <w:rPr/>
            </w:pPr>
            <w:r>
              <w:rPr/>
              <w:t>)</w:t>
            </w:r>
            <w:bookmarkStart w:id="254" w:name="xdx_40E_ecustom--PaymentOfInterestOnLeas"/>
            <w:bookmarkEnd w:id="254"/>
          </w:p>
        </w:tc>
      </w:tr>
      <w:tr>
        <w:trPr/>
        <w:tc>
          <w:tcPr>
            <w:tcW w:w="6875" w:type="dxa"/>
            <w:tcBorders/>
            <w:shd w:fill="FFFFFF" w:val="clear"/>
            <w:vAlign w:val="center"/>
          </w:tcPr>
          <w:p>
            <w:pPr>
              <w:pStyle w:val="TableContents"/>
              <w:bidi w:val="0"/>
              <w:spacing w:before="0" w:after="283"/>
              <w:jc w:val="both"/>
              <w:rPr/>
            </w:pPr>
            <w:r>
              <w:rPr/>
              <w:t>Payment of interest on lease liabilities</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7"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189" w:type="dxa"/>
            <w:tcBorders/>
            <w:shd w:fill="FFFFFF" w:val="clear"/>
            <w:vAlign w:val="center"/>
          </w:tcPr>
          <w:p>
            <w:pPr>
              <w:pStyle w:val="TableContents"/>
              <w:bidi w:val="0"/>
              <w:spacing w:before="0" w:after="283"/>
              <w:jc w:val="left"/>
              <w:rPr/>
            </w:pPr>
            <w:r>
              <w:rPr/>
              <w:t>)</w:t>
            </w:r>
          </w:p>
        </w:tc>
        <w:tc>
          <w:tcPr>
            <w:tcW w:w="81"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55" w:name="xdx_98B_ecustom--PaymentOfInterestOnLeas"/>
            <w:bookmarkEnd w:id="255"/>
          </w:p>
        </w:tc>
        <w:tc>
          <w:tcPr>
            <w:tcW w:w="813"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110" w:type="dxa"/>
            <w:tcBorders/>
            <w:shd w:fill="FFFFFF" w:val="clear"/>
            <w:vAlign w:val="center"/>
          </w:tcPr>
          <w:p>
            <w:pPr>
              <w:pStyle w:val="TableContents"/>
              <w:bidi w:val="0"/>
              <w:spacing w:before="0" w:after="283"/>
              <w:jc w:val="left"/>
              <w:rPr/>
            </w:pPr>
            <w:r>
              <w:rPr/>
              <w:t>)</w:t>
            </w:r>
            <w:bookmarkStart w:id="256" w:name="xdx_408_eus-gaap--NetCashProvidedByUsedI"/>
            <w:bookmarkEnd w:id="256"/>
          </w:p>
        </w:tc>
      </w:tr>
      <w:tr>
        <w:trPr/>
        <w:tc>
          <w:tcPr>
            <w:tcW w:w="6875" w:type="dxa"/>
            <w:tcBorders/>
            <w:shd w:fill="CCEEFF" w:val="clear"/>
            <w:vAlign w:val="center"/>
          </w:tcPr>
          <w:p>
            <w:pPr>
              <w:pStyle w:val="TableContents"/>
              <w:bidi w:val="0"/>
              <w:spacing w:before="0" w:after="283"/>
              <w:jc w:val="both"/>
              <w:rPr>
                <w:b/>
              </w:rPr>
            </w:pPr>
            <w:r>
              <w:rPr>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7" w:type="dxa"/>
            <w:tcBorders>
              <w:bottom w:val="single" w:sz="8" w:space="0" w:color="000000"/>
            </w:tcBorders>
            <w:shd w:fill="CCEEFF" w:val="clear"/>
            <w:tcMar>
              <w:bottom w:w="28" w:type="dxa"/>
            </w:tcMar>
            <w:vAlign w:val="center"/>
          </w:tcPr>
          <w:p>
            <w:pPr>
              <w:pStyle w:val="TableContents"/>
              <w:bidi w:val="0"/>
              <w:spacing w:before="0" w:after="283"/>
              <w:jc w:val="right"/>
              <w:rPr/>
            </w:pPr>
            <w:r>
              <w:rPr/>
              <w:t>444</w:t>
            </w:r>
          </w:p>
        </w:tc>
        <w:tc>
          <w:tcPr>
            <w:tcW w:w="18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pPr>
            <w:r>
              <w:rPr/>
              <w:t>5,130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57" w:name="xdx_987_eus-gaap--NetCashProvidedByUsedI"/>
            <w:bookmarkEnd w:id="257"/>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pPr>
            <w:r>
              <w:rPr/>
              <w:t>3,945</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58" w:name="xdx_409_eus-gaap--EffectOfExchangeRateOn"/>
            <w:bookmarkEnd w:id="258"/>
          </w:p>
        </w:tc>
      </w:tr>
      <w:tr>
        <w:trPr/>
        <w:tc>
          <w:tcPr>
            <w:tcW w:w="6875" w:type="dxa"/>
            <w:tcBorders/>
            <w:shd w:fill="CCEEFF" w:val="clear"/>
            <w:vAlign w:val="center"/>
          </w:tcPr>
          <w:p>
            <w:pPr>
              <w:pStyle w:val="TableContents"/>
              <w:bidi w:val="0"/>
              <w:spacing w:before="0" w:after="283"/>
              <w:jc w:val="left"/>
              <w:rPr/>
            </w:pPr>
            <w:r>
              <w:rPr/>
              <w:t>Effects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pPr>
            <w:r>
              <w:rPr/>
              <w:t>-</w:t>
            </w:r>
          </w:p>
        </w:tc>
        <w:tc>
          <w:tcPr>
            <w:tcW w:w="18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bookmarkStart w:id="259" w:name="xdx_988_eus-gaap--EffectOfExchangeRateOn"/>
            <w:bookmarkEnd w:id="259"/>
          </w:p>
        </w:tc>
        <w:tc>
          <w:tcPr>
            <w:tcW w:w="813" w:type="dxa"/>
            <w:tcBorders/>
            <w:shd w:fill="CCEEFF" w:val="clear"/>
            <w:vAlign w:val="center"/>
          </w:tcPr>
          <w:p>
            <w:pPr>
              <w:pStyle w:val="TableContents"/>
              <w:bidi w:val="0"/>
              <w:spacing w:before="0" w:after="283"/>
              <w:jc w:val="right"/>
              <w:rPr/>
            </w:pPr>
            <w:r>
              <w:rPr/>
              <w:t>17</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60" w:name="xdx_400_eus-gaap--CashCashEquivalentsRes"/>
            <w:bookmarkEnd w:id="260"/>
          </w:p>
        </w:tc>
      </w:tr>
      <w:tr>
        <w:trPr/>
        <w:tc>
          <w:tcPr>
            <w:tcW w:w="6875" w:type="dxa"/>
            <w:tcBorders/>
            <w:shd w:fill="CCEEFF" w:val="clear"/>
            <w:vAlign w:val="center"/>
          </w:tcPr>
          <w:p>
            <w:pPr>
              <w:pStyle w:val="TableContents"/>
              <w:bidi w:val="0"/>
              <w:spacing w:before="0" w:after="283"/>
              <w:jc w:val="both"/>
              <w:rPr/>
            </w:pPr>
            <w:r>
              <w:rPr/>
              <w:t>Net changes in cash and cash equivalents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pPr>
            <w:r>
              <w:rPr/>
              <w:t>159</w:t>
            </w:r>
          </w:p>
        </w:tc>
        <w:tc>
          <w:tcPr>
            <w:tcW w:w="18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1,135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bookmarkStart w:id="261" w:name="xdx_98F_eus-gaap--CashCashEquivalentsRes"/>
            <w:bookmarkEnd w:id="261"/>
          </w:p>
        </w:tc>
        <w:tc>
          <w:tcPr>
            <w:tcW w:w="813" w:type="dxa"/>
            <w:tcBorders/>
            <w:shd w:fill="CCEEFF" w:val="clear"/>
            <w:vAlign w:val="center"/>
          </w:tcPr>
          <w:p>
            <w:pPr>
              <w:pStyle w:val="TableContents"/>
              <w:bidi w:val="0"/>
              <w:spacing w:before="0" w:after="283"/>
              <w:jc w:val="right"/>
              <w:rPr/>
            </w:pPr>
            <w:r>
              <w:rPr/>
              <w:t>853</w:t>
            </w:r>
          </w:p>
        </w:tc>
        <w:tc>
          <w:tcPr>
            <w:tcW w:w="110" w:type="dxa"/>
            <w:tcBorders/>
            <w:shd w:fill="CCEEFF" w:val="clear"/>
            <w:vAlign w:val="center"/>
          </w:tcPr>
          <w:p>
            <w:pPr>
              <w:pStyle w:val="TableContents"/>
              <w:bidi w:val="0"/>
              <w:spacing w:before="0" w:after="283"/>
              <w:jc w:val="left"/>
              <w:rPr/>
            </w:pPr>
            <w:r>
              <w:rPr/>
              <w:t> </w:t>
            </w:r>
            <w:bookmarkStart w:id="262" w:name="xdx_406_eus-gaap--CashCashEquivalentsRes"/>
            <w:bookmarkEnd w:id="262"/>
          </w:p>
        </w:tc>
      </w:tr>
      <w:tr>
        <w:trPr/>
        <w:tc>
          <w:tcPr>
            <w:tcW w:w="6875" w:type="dxa"/>
            <w:tcBorders/>
            <w:shd w:fill="FFFFFF" w:val="clear"/>
            <w:vAlign w:val="center"/>
          </w:tcPr>
          <w:p>
            <w:pPr>
              <w:pStyle w:val="TableContents"/>
              <w:bidi w:val="0"/>
              <w:spacing w:before="0" w:after="283"/>
              <w:jc w:val="both"/>
              <w:rPr/>
            </w:pPr>
            <w:r>
              <w:rPr/>
              <w:t>Cash and cash equivalents at beginning of the period</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7" w:type="dxa"/>
            <w:tcBorders>
              <w:bottom w:val="single" w:sz="8" w:space="0" w:color="000000"/>
            </w:tcBorders>
            <w:shd w:fill="FFFFFF" w:val="clear"/>
            <w:tcMar>
              <w:bottom w:w="28" w:type="dxa"/>
            </w:tcMar>
            <w:vAlign w:val="center"/>
          </w:tcPr>
          <w:p>
            <w:pPr>
              <w:pStyle w:val="TableContents"/>
              <w:bidi w:val="0"/>
              <w:spacing w:before="0" w:after="283"/>
              <w:jc w:val="right"/>
              <w:rPr/>
            </w:pPr>
            <w:r>
              <w:rPr/>
              <w:t>315</w:t>
            </w:r>
          </w:p>
        </w:tc>
        <w:tc>
          <w:tcPr>
            <w:tcW w:w="18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pPr>
            <w:r>
              <w:rPr/>
              <w:t>1,990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63" w:name="xdx_985_eus-gaap--CashCashEquivalentsRes"/>
            <w:bookmarkEnd w:id="263"/>
          </w:p>
        </w:tc>
        <w:tc>
          <w:tcPr>
            <w:tcW w:w="813" w:type="dxa"/>
            <w:tcBorders>
              <w:bottom w:val="single" w:sz="8" w:space="0" w:color="000000"/>
            </w:tcBorders>
            <w:shd w:fill="FFFFFF" w:val="clear"/>
            <w:tcMar>
              <w:bottom w:w="28" w:type="dxa"/>
            </w:tcMar>
            <w:vAlign w:val="center"/>
          </w:tcPr>
          <w:p>
            <w:pPr>
              <w:pStyle w:val="TableContents"/>
              <w:bidi w:val="0"/>
              <w:spacing w:before="0" w:after="283"/>
              <w:jc w:val="right"/>
              <w:rPr/>
            </w:pPr>
            <w:r>
              <w:rPr/>
              <w:t>1,549</w:t>
            </w:r>
          </w:p>
        </w:tc>
        <w:tc>
          <w:tcPr>
            <w:tcW w:w="110" w:type="dxa"/>
            <w:tcBorders/>
            <w:shd w:fill="FFFFFF" w:val="clear"/>
            <w:vAlign w:val="center"/>
          </w:tcPr>
          <w:p>
            <w:pPr>
              <w:pStyle w:val="TableContents"/>
              <w:bidi w:val="0"/>
              <w:spacing w:before="0" w:after="283"/>
              <w:jc w:val="left"/>
              <w:rPr/>
            </w:pPr>
            <w:r>
              <w:rPr/>
              <w:t> </w:t>
            </w:r>
            <w:bookmarkStart w:id="264" w:name="xdx_405_eus-gaap--CashCashEquivalentsRes"/>
            <w:bookmarkEnd w:id="264"/>
          </w:p>
        </w:tc>
      </w:tr>
      <w:tr>
        <w:trPr/>
        <w:tc>
          <w:tcPr>
            <w:tcW w:w="6875" w:type="dxa"/>
            <w:tcBorders/>
            <w:shd w:fill="CCEEFF" w:val="clear"/>
            <w:vAlign w:val="center"/>
          </w:tcPr>
          <w:p>
            <w:pPr>
              <w:pStyle w:val="TableContents"/>
              <w:bidi w:val="0"/>
              <w:spacing w:before="0" w:after="283"/>
              <w:jc w:val="both"/>
              <w:rPr/>
            </w:pPr>
            <w:r>
              <w:rPr/>
              <w:t>Cash and cash equivalents at end of the period</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7" w:type="dxa"/>
            <w:tcBorders>
              <w:bottom w:val="single" w:sz="8" w:space="0" w:color="000000"/>
            </w:tcBorders>
            <w:shd w:fill="CCEEFF" w:val="clear"/>
            <w:tcMar>
              <w:bottom w:w="28" w:type="dxa"/>
            </w:tcMar>
            <w:vAlign w:val="center"/>
          </w:tcPr>
          <w:p>
            <w:pPr>
              <w:pStyle w:val="TableContents"/>
              <w:bidi w:val="0"/>
              <w:spacing w:before="0" w:after="283"/>
              <w:jc w:val="right"/>
              <w:rPr/>
            </w:pPr>
            <w:r>
              <w:rPr/>
              <w:t>474</w:t>
            </w:r>
          </w:p>
        </w:tc>
        <w:tc>
          <w:tcPr>
            <w:tcW w:w="18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pPr>
            <w:r>
              <w:rPr/>
              <w:t>3,130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65" w:name="xdx_980_eus-gaap--CashCashEquivalentsRes"/>
            <w:bookmarkEnd w:id="265"/>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pPr>
            <w:r>
              <w:rPr/>
              <w:t>2,419</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66" w:name="xdx_402_eus-gaap--SupplementalCashFlowIn"/>
            <w:bookmarkEnd w:id="266"/>
          </w:p>
        </w:tc>
      </w:tr>
      <w:tr>
        <w:trPr/>
        <w:tc>
          <w:tcPr>
            <w:tcW w:w="6875" w:type="dxa"/>
            <w:tcBorders/>
            <w:shd w:fill="CCEEFF" w:val="clear"/>
            <w:vAlign w:val="center"/>
          </w:tcPr>
          <w:p>
            <w:pPr>
              <w:pStyle w:val="TableContents"/>
              <w:bidi w:val="0"/>
              <w:spacing w:before="0" w:after="283"/>
              <w:jc w:val="left"/>
              <w:rPr>
                <w:b/>
              </w:rPr>
            </w:pPr>
            <w:r>
              <w:rPr>
                <w:b/>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pPr>
            <w:r>
              <w:rPr/>
              <w:t> </w:t>
            </w:r>
          </w:p>
        </w:tc>
        <w:tc>
          <w:tcPr>
            <w:tcW w:w="18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67" w:name="xdx_407_eus-gaap--InterestPaidNet_i01N_d"/>
            <w:bookmarkEnd w:id="267"/>
          </w:p>
        </w:tc>
      </w:tr>
      <w:tr>
        <w:trPr/>
        <w:tc>
          <w:tcPr>
            <w:tcW w:w="6875" w:type="dxa"/>
            <w:tcBorders/>
            <w:shd w:fill="FFFFFF" w:val="clear"/>
            <w:vAlign w:val="center"/>
          </w:tcPr>
          <w:p>
            <w:pPr>
              <w:pStyle w:val="TableContents"/>
              <w:bidi w:val="0"/>
              <w:spacing w:before="0" w:after="283"/>
              <w:jc w:val="both"/>
              <w:rPr/>
            </w:pPr>
            <w:r>
              <w:rPr/>
              <w:t>Cash paid for interest</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7" w:type="dxa"/>
            <w:tcBorders>
              <w:bottom w:val="single" w:sz="8" w:space="0" w:color="000000"/>
            </w:tcBorders>
            <w:shd w:fill="FFFFFF" w:val="clear"/>
            <w:tcMar>
              <w:bottom w:w="28" w:type="dxa"/>
            </w:tcMar>
            <w:vAlign w:val="center"/>
          </w:tcPr>
          <w:p>
            <w:pPr>
              <w:pStyle w:val="TableContents"/>
              <w:bidi w:val="0"/>
              <w:spacing w:before="0" w:after="283"/>
              <w:jc w:val="right"/>
              <w:rPr/>
            </w:pPr>
            <w:r>
              <w:rPr/>
              <w:t>(11</w:t>
            </w:r>
          </w:p>
        </w:tc>
        <w:tc>
          <w:tcPr>
            <w:tcW w:w="189" w:type="dxa"/>
            <w:tcBorders/>
            <w:shd w:fill="FFFFFF" w:val="clear"/>
            <w:vAlign w:val="center"/>
          </w:tcPr>
          <w:p>
            <w:pPr>
              <w:pStyle w:val="TableContents"/>
              <w:bidi w:val="0"/>
              <w:spacing w:before="0" w:after="283"/>
              <w:jc w:val="left"/>
              <w:rPr/>
            </w:pPr>
            <w:r>
              <w:rPr/>
              <w:t>)</w:t>
            </w:r>
          </w:p>
        </w:tc>
        <w:tc>
          <w:tcPr>
            <w:tcW w:w="81"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68" w:name="xdx_98A_eus-gaap--InterestPaidNet_iN_pn3"/>
            <w:bookmarkEnd w:id="268"/>
          </w:p>
        </w:tc>
        <w:tc>
          <w:tcPr>
            <w:tcW w:w="813" w:type="dxa"/>
            <w:tcBorders>
              <w:bottom w:val="single" w:sz="8" w:space="0" w:color="000000"/>
            </w:tcBorders>
            <w:shd w:fill="FFFFFF" w:val="clear"/>
            <w:tcMar>
              <w:bottom w:w="28" w:type="dxa"/>
            </w:tcMar>
            <w:vAlign w:val="center"/>
          </w:tcPr>
          <w:p>
            <w:pPr>
              <w:pStyle w:val="TableContents"/>
              <w:bidi w:val="0"/>
              <w:spacing w:before="0" w:after="283"/>
              <w:jc w:val="right"/>
              <w:rPr/>
            </w:pPr>
            <w:r>
              <w:rPr/>
              <w:t>(5</w:t>
            </w:r>
          </w:p>
        </w:tc>
        <w:tc>
          <w:tcPr>
            <w:tcW w:w="110" w:type="dxa"/>
            <w:tcBorders/>
            <w:shd w:fill="FFFFFF" w:val="clear"/>
            <w:vAlign w:val="center"/>
          </w:tcPr>
          <w:p>
            <w:pPr>
              <w:pStyle w:val="TableContents"/>
              <w:bidi w:val="0"/>
              <w:spacing w:before="0" w:after="283"/>
              <w:jc w:val="left"/>
              <w:rPr/>
            </w:pPr>
            <w:r>
              <w:rPr/>
              <w:t>)</w:t>
            </w:r>
            <w:bookmarkStart w:id="269" w:name="xdx_402_eus-gaap--IncomeTaxesPaidNet_i01"/>
            <w:bookmarkEnd w:id="269"/>
          </w:p>
        </w:tc>
      </w:tr>
      <w:tr>
        <w:trPr/>
        <w:tc>
          <w:tcPr>
            <w:tcW w:w="6875" w:type="dxa"/>
            <w:tcBorders/>
            <w:shd w:fill="CCEEFF" w:val="clear"/>
            <w:vAlign w:val="center"/>
          </w:tcPr>
          <w:p>
            <w:pPr>
              <w:pStyle w:val="TableContents"/>
              <w:bidi w:val="0"/>
              <w:spacing w:before="0" w:after="283"/>
              <w:jc w:val="both"/>
              <w:rPr/>
            </w:pPr>
            <w:r>
              <w:rPr/>
              <w:t>Cash paid for income tax</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8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70" w:name="xdx_98B_eus-gaap--IncomeTaxesPaidNet_iN_"/>
            <w:bookmarkEnd w:id="270"/>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pPr>
            <w:r>
              <w:rPr/>
              <w:t>(6</w:t>
            </w:r>
          </w:p>
        </w:tc>
        <w:tc>
          <w:tcPr>
            <w:tcW w:w="110" w:type="dxa"/>
            <w:tcBorders/>
            <w:shd w:fill="CCEEFF" w:val="clear"/>
            <w:vAlign w:val="center"/>
          </w:tcPr>
          <w:p>
            <w:pPr>
              <w:pStyle w:val="TableContents"/>
              <w:bidi w:val="0"/>
              <w:spacing w:before="0" w:after="283"/>
              <w:jc w:val="left"/>
              <w:rPr/>
            </w:pPr>
            <w:r>
              <w:rPr/>
              <w:t>)</w:t>
            </w:r>
            <w:bookmarkStart w:id="271" w:name="xdx_40F_eus-gaap--InvestmentIncomeInvest"/>
            <w:bookmarkEnd w:id="271"/>
          </w:p>
        </w:tc>
      </w:tr>
      <w:tr>
        <w:trPr/>
        <w:tc>
          <w:tcPr>
            <w:tcW w:w="6875" w:type="dxa"/>
            <w:tcBorders/>
            <w:shd w:fill="FFFFFF" w:val="clear"/>
            <w:vAlign w:val="center"/>
          </w:tcPr>
          <w:p>
            <w:pPr>
              <w:pStyle w:val="TableContents"/>
              <w:bidi w:val="0"/>
              <w:spacing w:before="0" w:after="283"/>
              <w:jc w:val="both"/>
              <w:rPr/>
            </w:pPr>
            <w:r>
              <w:rPr/>
              <w:t>Interest income received</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8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72" w:name="xdx_98E_eus-gaap--InvestmentIncomeInvest"/>
            <w:bookmarkEnd w:id="272"/>
          </w:p>
        </w:tc>
        <w:tc>
          <w:tcPr>
            <w:tcW w:w="813" w:type="dxa"/>
            <w:tcBorders>
              <w:bottom w:val="single" w:sz="8" w:space="0" w:color="000000"/>
            </w:tcBorders>
            <w:shd w:fill="FFFFFF" w:val="clear"/>
            <w:tcMar>
              <w:bottom w:w="28" w:type="dxa"/>
            </w:tcMar>
            <w:vAlign w:val="center"/>
          </w:tcPr>
          <w:p>
            <w:pPr>
              <w:pStyle w:val="TableContents"/>
              <w:bidi w:val="0"/>
              <w:spacing w:before="0" w:after="283"/>
              <w:jc w:val="right"/>
              <w:rPr/>
            </w:pPr>
            <w:r>
              <w:rPr/>
              <w:t>16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140"/>
        <w:gridCol w:w="2150"/>
      </w:tblGrid>
      <w:tr>
        <w:trPr/>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73" w:name="xdx_F09_zQ3PngpslGmk"/>
            <w:bookmarkEnd w:id="273"/>
            <w:r>
              <w:rPr>
                <w:rFonts w:ascii="Times New Roman;Times;Serif" w:hAnsi="Times New Roman;Times;Serif"/>
                <w:b w:val="false"/>
                <w:i w:val="false"/>
                <w:caps w:val="false"/>
                <w:smallCaps w:val="false"/>
                <w:sz w:val="20"/>
              </w:rPr>
              <w:t>*</w:t>
            </w:r>
          </w:p>
        </w:tc>
        <w:tc>
          <w:tcPr>
            <w:tcW w:w="2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74" w:name="xdx_F12_zUUTjE0Cq0Fb"/>
            <w:bookmarkEnd w:id="274"/>
            <w:r>
              <w:rPr>
                <w:rFonts w:ascii="Times New Roman;Times;Serif" w:hAnsi="Times New Roman;Times;Serif"/>
                <w:b w:val="false"/>
                <w:i w:val="false"/>
                <w:caps w:val="false"/>
                <w:smallCaps w:val="false"/>
                <w:sz w:val="20"/>
              </w:rPr>
              <w:t>Below S$1,000/US$1,000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interim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FITNESS CHAMPS HOLDINGS LTD AND SUBSIDIARIES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INTERIM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5" w:name="xdx_80E_eus-gaap--BusinessDescriptionAnd"/>
      <w:bookmarkEnd w:id="275"/>
      <w:r>
        <w:rPr>
          <w:rFonts w:ascii="Times New Roman;Times;Serif" w:hAnsi="Times New Roman;Times;Serif"/>
          <w:b/>
          <w:i w:val="false"/>
          <w:caps w:val="false"/>
          <w:smallCaps w:val="false"/>
          <w:sz w:val="20"/>
        </w:rPr>
        <w:t xml:space="preserve">Note 1. </w:t>
      </w:r>
      <w:bookmarkStart w:id="276" w:name="xdx_824_zrBNJp2j1CFf"/>
      <w:bookmarkEnd w:id="276"/>
      <w:r>
        <w:rPr>
          <w:rFonts w:ascii="Times New Roman;Times;Serif" w:hAnsi="Times New Roman;Times;Serif"/>
          <w:b/>
          <w:i w:val="false"/>
          <w:caps w:val="false"/>
          <w:smallCaps w:val="false"/>
          <w:sz w:val="20"/>
        </w:rPr>
        <w:t xml:space="preserve">Organization, Description of Business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Fitness Champs Holdings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Fitness Champs Holdings Limited was incorporated in the Cayman Islands on February 15, 2024 under the Companies Act as an exempted company with limited liability. The authorized share capital was US$</w:t>
      </w:r>
      <w:bookmarkStart w:id="277" w:name="xdx_901_ecustom--AuthorizedShareCapitalA"/>
      <w:bookmarkEnd w:id="277"/>
      <w:r>
        <w:rPr>
          <w:rFonts w:ascii="Times New Roman;Times;Serif" w:hAnsi="Times New Roman;Times;Serif"/>
          <w:b w:val="false"/>
          <w:i w:val="false"/>
          <w:caps w:val="false"/>
          <w:smallCaps w:val="false"/>
          <w:sz w:val="20"/>
        </w:rPr>
        <w:t xml:space="preserve">500,000 divided into </w:t>
      </w:r>
      <w:bookmarkStart w:id="278" w:name="xdx_90A_eus-gaap--CommonStockSharesAutho"/>
      <w:bookmarkEnd w:id="278"/>
      <w:r>
        <w:rPr>
          <w:rFonts w:ascii="Times New Roman;Times;Serif" w:hAnsi="Times New Roman;Times;Serif"/>
          <w:b w:val="false"/>
          <w:i w:val="false"/>
          <w:caps w:val="false"/>
          <w:smallCaps w:val="false"/>
          <w:sz w:val="20"/>
        </w:rPr>
        <w:t>500,000,000 Ordinary shares, par value US$</w:t>
      </w:r>
      <w:bookmarkStart w:id="279" w:name="xdx_90A_eus-gaap--CommonStockParOrStated"/>
      <w:bookmarkEnd w:id="279"/>
      <w:r>
        <w:rPr>
          <w:rFonts w:ascii="Times New Roman;Times;Serif" w:hAnsi="Times New Roman;Times;Serif"/>
          <w:b w:val="false"/>
          <w:i w:val="false"/>
          <w:caps w:val="false"/>
          <w:smallCaps w:val="false"/>
          <w:sz w:val="20"/>
        </w:rPr>
        <w:t>0.001 each at the time of incorporation. The initial one share was transferred to Ms. Lee on the same date for cash at par.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Northen Star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12, 2023, Northen Star was incorporated in the British Virgin Islands with limited liability. Northen Star is authorized to issue a maximum of </w:t>
      </w:r>
      <w:bookmarkStart w:id="280" w:name="xdx_902_eus-gaap--CommonStockSharesAutho"/>
      <w:bookmarkEnd w:id="280"/>
      <w:r>
        <w:rPr>
          <w:rFonts w:ascii="Times New Roman;Times;Serif" w:hAnsi="Times New Roman;Times;Serif"/>
          <w:b w:val="false"/>
          <w:i w:val="false"/>
          <w:caps w:val="false"/>
          <w:smallCaps w:val="false"/>
          <w:sz w:val="20"/>
        </w:rPr>
        <w:t>50,000 shares of a single class each with a par value of US$</w:t>
      </w:r>
      <w:bookmarkStart w:id="281" w:name="xdx_905_eus-gaap--CommonStockParOrStated"/>
      <w:bookmarkEnd w:id="281"/>
      <w:r>
        <w:rPr>
          <w:rFonts w:ascii="Times New Roman;Times;Serif" w:hAnsi="Times New Roman;Times;Serif"/>
          <w:b w:val="false"/>
          <w:i w:val="false"/>
          <w:caps w:val="false"/>
          <w:smallCaps w:val="false"/>
          <w:sz w:val="20"/>
        </w:rPr>
        <w:t xml:space="preserve">1.00 each and the initial </w:t>
      </w:r>
      <w:bookmarkStart w:id="282" w:name="xdx_90D_eus-gaap--CommonStockSharesOutst"/>
      <w:bookmarkEnd w:id="282"/>
      <w:r>
        <w:rPr>
          <w:rFonts w:ascii="Times New Roman;Times;Serif" w:hAnsi="Times New Roman;Times;Serif"/>
          <w:b w:val="false"/>
          <w:i w:val="false"/>
          <w:caps w:val="false"/>
          <w:smallCaps w:val="false"/>
          <w:sz w:val="20"/>
        </w:rPr>
        <w:t>1,000 shares were held by Ms. Lee.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Fitness Champs Pte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Fitness Champs Pte Ltd (“Fitness Champs”) was incorporated in Singapore on December 5, 2012. Fitness Champs is our indirect wholly-owned subsidiary and has an issued share capital of </w:t>
      </w:r>
      <w:bookmarkStart w:id="283" w:name="xdx_905_eus-gaap--SharesOutstanding_iI_c"/>
      <w:bookmarkEnd w:id="283"/>
      <w:r>
        <w:rPr>
          <w:rFonts w:ascii="Times New Roman;Times;Serif" w:hAnsi="Times New Roman;Times;Serif"/>
          <w:b w:val="false"/>
          <w:i w:val="false"/>
          <w:caps w:val="false"/>
          <w:smallCaps w:val="false"/>
          <w:sz w:val="20"/>
        </w:rPr>
        <w:t xml:space="preserve">10,000 shares, all of which are held by Northen Star Limited (“Northen Star”), our direct wholly-owned subsidiary following an internal group reorganization on June 19, 2024, whereby Ms. Lee transferred her entire shareholding interests in Fitness Champs of </w:t>
      </w:r>
      <w:bookmarkStart w:id="284" w:name="xdx_900_eus-gaap--StockIssuedDuringPerio"/>
      <w:bookmarkEnd w:id="284"/>
      <w:r>
        <w:rPr>
          <w:rFonts w:ascii="Times New Roman;Times;Serif" w:hAnsi="Times New Roman;Times;Serif"/>
          <w:b w:val="false"/>
          <w:i w:val="false"/>
          <w:caps w:val="false"/>
          <w:smallCaps w:val="false"/>
          <w:sz w:val="20"/>
        </w:rPr>
        <w:t>10,000 shares to Northen Star. Fitness Champs carries on the business of sports education in the form of swimming lessons provided through government related contracts through Singapore’s national SwimSafer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Fitness Champs Aquatics Pte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Fitness Champs Aquatics Pte Ltd (“Fitness Aquatics”) was incorporated in Singapore on July 15, 2015. Fitness Aquatics is our indirect wholly-owned subsidiary and has an issued share capital of </w:t>
      </w:r>
      <w:bookmarkStart w:id="285" w:name="xdx_902_eus-gaap--SharesOutstanding_iI_c"/>
      <w:bookmarkEnd w:id="285"/>
      <w:r>
        <w:rPr>
          <w:rFonts w:ascii="Times New Roman;Times;Serif" w:hAnsi="Times New Roman;Times;Serif"/>
          <w:b w:val="false"/>
          <w:i w:val="false"/>
          <w:caps w:val="false"/>
          <w:smallCaps w:val="false"/>
          <w:sz w:val="20"/>
        </w:rPr>
        <w:t xml:space="preserve">1,000 shares, all of which is held by Northen Star, our direct wholly-owned subsidiary following an internal reorganization on June 19, 2024, whereby Ms. Lee transferred her entire shareholding interests in Fitness Aquatics of </w:t>
      </w:r>
      <w:bookmarkStart w:id="286" w:name="xdx_90A_eus-gaap--StockIssuedDuringPerio"/>
      <w:bookmarkEnd w:id="286"/>
      <w:r>
        <w:rPr>
          <w:rFonts w:ascii="Times New Roman;Times;Serif" w:hAnsi="Times New Roman;Times;Serif"/>
          <w:b w:val="false"/>
          <w:i w:val="false"/>
          <w:caps w:val="false"/>
          <w:smallCaps w:val="false"/>
          <w:sz w:val="20"/>
        </w:rPr>
        <w:t>1,000 shares to Northen Star. Fitness Aquatics provides sports education in the form of private swimming lessons.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Fitness Champs Excellence Sports Academy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Fitness Champs Excellence Sports Academy LLC (“Fitness Academy”) was incorporated in United Arab Emirates on 30 October 2025. Fitness Aquatics is our wholly-owned subsidiary and has an issued share capital of </w:t>
      </w:r>
      <w:bookmarkStart w:id="287" w:name="xdx_90A_eus-gaap--CommonStockSharesIssue"/>
      <w:bookmarkEnd w:id="287"/>
      <w:r>
        <w:rPr>
          <w:rFonts w:ascii="Times New Roman;Times;Serif" w:hAnsi="Times New Roman;Times;Serif"/>
          <w:b w:val="false"/>
          <w:i w:val="false"/>
          <w:caps w:val="false"/>
          <w:smallCaps w:val="false"/>
          <w:sz w:val="20"/>
        </w:rPr>
        <w:t>100 shares, all of which is held by Fitness Champs Aquatics Pte Ltd, our direct wholly-owned subsidiary. Fitness Academy provides sports education in the form of private swimming lessons.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19, 2024, the initial one share of the Company was transferred by Ms. Lee to Big Treasure Investments Limited (“Big Treasure”) and each of Big Treasure, Biostar Developments Limited (“Biostar”), Easy Builder Limited (“Easy Builder”), Creative Path Holdings Limited (“Creative Path”), True Height Limited (“True Height”) and Fuji Investment Limited (“Fuji”) subscribed for </w:t>
      </w:r>
      <w:bookmarkStart w:id="288" w:name="xdx_905_ecustom--RestructuringShares_c20"/>
      <w:bookmarkEnd w:id="288"/>
      <w:r>
        <w:rPr>
          <w:rFonts w:ascii="Times New Roman;Times;Serif" w:hAnsi="Times New Roman;Times;Serif"/>
          <w:b w:val="false"/>
          <w:i w:val="false"/>
          <w:caps w:val="false"/>
          <w:smallCaps w:val="false"/>
          <w:sz w:val="20"/>
        </w:rPr>
        <w:t xml:space="preserve">64,717; </w:t>
      </w:r>
      <w:bookmarkStart w:id="289" w:name="xdx_908_ecustom--RestructuringShares_c20"/>
      <w:bookmarkEnd w:id="289"/>
      <w:r>
        <w:rPr>
          <w:rFonts w:ascii="Times New Roman;Times;Serif" w:hAnsi="Times New Roman;Times;Serif"/>
          <w:b w:val="false"/>
          <w:i w:val="false"/>
          <w:caps w:val="false"/>
          <w:smallCaps w:val="false"/>
          <w:sz w:val="20"/>
        </w:rPr>
        <w:t xml:space="preserve">4,440; </w:t>
      </w:r>
      <w:bookmarkStart w:id="290" w:name="xdx_90A_ecustom--RestructuringShares_c20"/>
      <w:bookmarkEnd w:id="290"/>
      <w:r>
        <w:rPr>
          <w:rFonts w:ascii="Times New Roman;Times;Serif" w:hAnsi="Times New Roman;Times;Serif"/>
          <w:b w:val="false"/>
          <w:i w:val="false"/>
          <w:caps w:val="false"/>
          <w:smallCaps w:val="false"/>
          <w:sz w:val="20"/>
        </w:rPr>
        <w:t xml:space="preserve">19,090; </w:t>
      </w:r>
      <w:bookmarkStart w:id="291" w:name="xdx_90F_ecustom--RestructuringShares_c20"/>
      <w:bookmarkEnd w:id="291"/>
      <w:r>
        <w:rPr>
          <w:rFonts w:ascii="Times New Roman;Times;Serif" w:hAnsi="Times New Roman;Times;Serif"/>
          <w:b w:val="false"/>
          <w:i w:val="false"/>
          <w:caps w:val="false"/>
          <w:smallCaps w:val="false"/>
          <w:sz w:val="20"/>
        </w:rPr>
        <w:t xml:space="preserve">4,900; </w:t>
      </w:r>
      <w:bookmarkStart w:id="292" w:name="xdx_907_ecustom--RestructuringShares_c20"/>
      <w:bookmarkEnd w:id="292"/>
      <w:r>
        <w:rPr>
          <w:rFonts w:ascii="Times New Roman;Times;Serif" w:hAnsi="Times New Roman;Times;Serif"/>
          <w:b w:val="false"/>
          <w:i w:val="false"/>
          <w:caps w:val="false"/>
          <w:smallCaps w:val="false"/>
          <w:sz w:val="20"/>
        </w:rPr>
        <w:t xml:space="preserve">1,950; and </w:t>
      </w:r>
      <w:bookmarkStart w:id="293" w:name="xdx_90D_ecustom--RestructuringShares_c20"/>
      <w:bookmarkEnd w:id="293"/>
      <w:r>
        <w:rPr>
          <w:rFonts w:ascii="Times New Roman;Times;Serif" w:hAnsi="Times New Roman;Times;Serif"/>
          <w:b w:val="false"/>
          <w:i w:val="false"/>
          <w:caps w:val="false"/>
          <w:smallCaps w:val="false"/>
          <w:sz w:val="20"/>
        </w:rPr>
        <w:t xml:space="preserve">4,900 shares respectively for cash at par resulting in Big Treasure, Biostar, Easy Builder, Creative Path, True Height, and Fuji holding approximately </w:t>
      </w:r>
      <w:bookmarkStart w:id="294" w:name="xdx_90B_ecustom--RestructuringPercentage"/>
      <w:bookmarkEnd w:id="294"/>
      <w:r>
        <w:rPr>
          <w:rFonts w:ascii="Times New Roman;Times;Serif" w:hAnsi="Times New Roman;Times;Serif"/>
          <w:b w:val="false"/>
          <w:i w:val="false"/>
          <w:caps w:val="false"/>
          <w:smallCaps w:val="false"/>
          <w:sz w:val="20"/>
        </w:rPr>
        <w:t xml:space="preserve">64.72%; </w:t>
      </w:r>
      <w:bookmarkStart w:id="295" w:name="xdx_90B_ecustom--RestructuringPercentage"/>
      <w:bookmarkEnd w:id="295"/>
      <w:r>
        <w:rPr>
          <w:rFonts w:ascii="Times New Roman;Times;Serif" w:hAnsi="Times New Roman;Times;Serif"/>
          <w:b w:val="false"/>
          <w:i w:val="false"/>
          <w:caps w:val="false"/>
          <w:smallCaps w:val="false"/>
          <w:sz w:val="20"/>
        </w:rPr>
        <w:t xml:space="preserve">4.44%; </w:t>
      </w:r>
      <w:bookmarkStart w:id="296" w:name="xdx_905_ecustom--RestructuringPercentage"/>
      <w:bookmarkEnd w:id="296"/>
      <w:r>
        <w:rPr>
          <w:rFonts w:ascii="Times New Roman;Times;Serif" w:hAnsi="Times New Roman;Times;Serif"/>
          <w:b w:val="false"/>
          <w:i w:val="false"/>
          <w:caps w:val="false"/>
          <w:smallCaps w:val="false"/>
          <w:sz w:val="20"/>
        </w:rPr>
        <w:t xml:space="preserve">19.09%, </w:t>
      </w:r>
      <w:bookmarkStart w:id="297" w:name="xdx_905_ecustom--RestructuringPercentage"/>
      <w:bookmarkEnd w:id="297"/>
      <w:r>
        <w:rPr>
          <w:rFonts w:ascii="Times New Roman;Times;Serif" w:hAnsi="Times New Roman;Times;Serif"/>
          <w:b w:val="false"/>
          <w:i w:val="false"/>
          <w:caps w:val="false"/>
          <w:smallCaps w:val="false"/>
          <w:sz w:val="20"/>
        </w:rPr>
        <w:t xml:space="preserve">4.90%, </w:t>
      </w:r>
      <w:bookmarkStart w:id="298" w:name="xdx_90A_ecustom--RestructuringPercentage"/>
      <w:bookmarkEnd w:id="298"/>
      <w:r>
        <w:rPr>
          <w:rFonts w:ascii="Times New Roman;Times;Serif" w:hAnsi="Times New Roman;Times;Serif"/>
          <w:b w:val="false"/>
          <w:i w:val="false"/>
          <w:caps w:val="false"/>
          <w:smallCaps w:val="false"/>
          <w:sz w:val="20"/>
        </w:rPr>
        <w:t xml:space="preserve">1.95% and </w:t>
      </w:r>
      <w:bookmarkStart w:id="299" w:name="xdx_901_ecustom--RestructuringPercentage"/>
      <w:bookmarkEnd w:id="299"/>
      <w:r>
        <w:rPr>
          <w:rFonts w:ascii="Times New Roman;Times;Serif" w:hAnsi="Times New Roman;Times;Serif"/>
          <w:b w:val="false"/>
          <w:i w:val="false"/>
          <w:caps w:val="false"/>
          <w:smallCaps w:val="false"/>
          <w:sz w:val="20"/>
        </w:rPr>
        <w:t>4.90%, respectively, of Fitness Holdings’ entire issued share capital (the “Restructuring”).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the same day, and contemporaneous with the above transaction, Ms. Lee transferred her entire shareholding interests in Northen Star, being the </w:t>
      </w:r>
      <w:bookmarkStart w:id="300" w:name="xdx_90B_eus-gaap--SharesOutstanding_iI_c"/>
      <w:bookmarkEnd w:id="300"/>
      <w:r>
        <w:rPr>
          <w:rFonts w:ascii="Times New Roman;Times;Serif" w:hAnsi="Times New Roman;Times;Serif"/>
          <w:b w:val="false"/>
          <w:i w:val="false"/>
          <w:caps w:val="false"/>
          <w:smallCaps w:val="false"/>
          <w:sz w:val="20"/>
        </w:rPr>
        <w:t xml:space="preserve">951 shares of Northen Star to Fitness Holdings and Fuji transferred its entire shareholding interest in Northen Star (being </w:t>
      </w:r>
      <w:bookmarkStart w:id="301" w:name="xdx_904_eus-gaap--SharesOutstanding_iI_c"/>
      <w:bookmarkEnd w:id="301"/>
      <w:r>
        <w:rPr>
          <w:rFonts w:ascii="Times New Roman;Times;Serif" w:hAnsi="Times New Roman;Times;Serif"/>
          <w:b w:val="false"/>
          <w:i w:val="false"/>
          <w:caps w:val="false"/>
          <w:smallCaps w:val="false"/>
          <w:sz w:val="20"/>
        </w:rPr>
        <w:t xml:space="preserve">49 shares of Northen Star) to Fitness Holdings. The consideration is settled by Fitness Holdings allotting and issuing one share to Big Treasure (as Ms. Lee’s nominee) and one share to Fuji, credited as fully paid. Following such issue, Fitness Holdings issued share capital would be </w:t>
      </w:r>
      <w:bookmarkStart w:id="302" w:name="xdx_907_eus-gaap--SharesOutstanding_iI_c"/>
      <w:bookmarkEnd w:id="302"/>
      <w:r>
        <w:rPr>
          <w:rFonts w:ascii="Times New Roman;Times;Serif" w:hAnsi="Times New Roman;Times;Serif"/>
          <w:b w:val="false"/>
          <w:i w:val="false"/>
          <w:caps w:val="false"/>
          <w:smallCaps w:val="false"/>
          <w:sz w:val="20"/>
        </w:rPr>
        <w:t xml:space="preserve">100,000 shares held as </w:t>
      </w:r>
      <w:bookmarkStart w:id="303" w:name="xdx_905_eus-gaap--SharesOutstanding_iI_c"/>
      <w:bookmarkEnd w:id="303"/>
      <w:r>
        <w:rPr>
          <w:rFonts w:ascii="Times New Roman;Times;Serif" w:hAnsi="Times New Roman;Times;Serif"/>
          <w:b w:val="false"/>
          <w:i w:val="false"/>
          <w:caps w:val="false"/>
          <w:smallCaps w:val="false"/>
          <w:sz w:val="20"/>
        </w:rPr>
        <w:t xml:space="preserve">64,719; </w:t>
      </w:r>
      <w:bookmarkStart w:id="304" w:name="xdx_907_eus-gaap--SharesOutstanding_iI_c"/>
      <w:bookmarkEnd w:id="304"/>
      <w:r>
        <w:rPr>
          <w:rFonts w:ascii="Times New Roman;Times;Serif" w:hAnsi="Times New Roman;Times;Serif"/>
          <w:b w:val="false"/>
          <w:i w:val="false"/>
          <w:caps w:val="false"/>
          <w:smallCaps w:val="false"/>
          <w:sz w:val="20"/>
        </w:rPr>
        <w:t xml:space="preserve">4,440, </w:t>
      </w:r>
      <w:bookmarkStart w:id="305" w:name="xdx_906_eus-gaap--SharesOutstanding_iI_c"/>
      <w:bookmarkEnd w:id="305"/>
      <w:r>
        <w:rPr>
          <w:rFonts w:ascii="Times New Roman;Times;Serif" w:hAnsi="Times New Roman;Times;Serif"/>
          <w:b w:val="false"/>
          <w:i w:val="false"/>
          <w:caps w:val="false"/>
          <w:smallCaps w:val="false"/>
          <w:sz w:val="20"/>
        </w:rPr>
        <w:t xml:space="preserve">19,090; </w:t>
      </w:r>
      <w:bookmarkStart w:id="306" w:name="xdx_907_eus-gaap--SharesOutstanding_iI_c"/>
      <w:bookmarkEnd w:id="306"/>
      <w:r>
        <w:rPr>
          <w:rFonts w:ascii="Times New Roman;Times;Serif" w:hAnsi="Times New Roman;Times;Serif"/>
          <w:b w:val="false"/>
          <w:i w:val="false"/>
          <w:caps w:val="false"/>
          <w:smallCaps w:val="false"/>
          <w:sz w:val="20"/>
        </w:rPr>
        <w:t xml:space="preserve">4,900; </w:t>
      </w:r>
      <w:bookmarkStart w:id="307" w:name="xdx_907_eus-gaap--SharesOutstanding_iI_c"/>
      <w:bookmarkEnd w:id="307"/>
      <w:r>
        <w:rPr>
          <w:rFonts w:ascii="Times New Roman;Times;Serif" w:hAnsi="Times New Roman;Times;Serif"/>
          <w:b w:val="false"/>
          <w:i w:val="false"/>
          <w:caps w:val="false"/>
          <w:smallCaps w:val="false"/>
          <w:sz w:val="20"/>
        </w:rPr>
        <w:t xml:space="preserve">1,950; and </w:t>
      </w:r>
      <w:bookmarkStart w:id="308" w:name="xdx_901_eus-gaap--SharesOutstanding_iI_c"/>
      <w:bookmarkEnd w:id="308"/>
      <w:r>
        <w:rPr>
          <w:rFonts w:ascii="Times New Roman;Times;Serif" w:hAnsi="Times New Roman;Times;Serif"/>
          <w:b w:val="false"/>
          <w:i w:val="false"/>
          <w:caps w:val="false"/>
          <w:smallCaps w:val="false"/>
          <w:sz w:val="20"/>
        </w:rPr>
        <w:t>4,901; by Big Treasure, Biostar, Easy Builder, Creative Path, True Height and Fuji, respectively.</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 2024, the Board of Directors approved a restructuring of the Company’s share capital in connection with its proposed initial public offering. The authorised share capital of the Company, previously consisting of </w:t>
      </w:r>
      <w:bookmarkStart w:id="309" w:name="xdx_904_eus-gaap--CommonStockSharesAutho"/>
      <w:bookmarkEnd w:id="309"/>
      <w:r>
        <w:rPr>
          <w:rFonts w:ascii="Times New Roman;Times;Serif" w:hAnsi="Times New Roman;Times;Serif"/>
          <w:b w:val="false"/>
          <w:i w:val="false"/>
          <w:caps w:val="false"/>
          <w:smallCaps w:val="false"/>
          <w:sz w:val="20"/>
        </w:rPr>
        <w:t>500,000,000 ordinary shares with a par value of US$</w:t>
      </w:r>
      <w:bookmarkStart w:id="310" w:name="xdx_900_eus-gaap--CommonStockParOrStated"/>
      <w:bookmarkEnd w:id="310"/>
      <w:r>
        <w:rPr>
          <w:rFonts w:ascii="Times New Roman;Times;Serif" w:hAnsi="Times New Roman;Times;Serif"/>
          <w:b w:val="false"/>
          <w:i w:val="false"/>
          <w:caps w:val="false"/>
          <w:smallCaps w:val="false"/>
          <w:sz w:val="20"/>
        </w:rPr>
        <w:t xml:space="preserve">0.001 each, was subdivided on a </w:t>
      </w:r>
      <w:bookmarkStart w:id="311" w:name="xdx_90B_eus-gaap--StockholdersEquityNote"/>
      <w:bookmarkEnd w:id="311"/>
      <w:r>
        <w:rPr>
          <w:rFonts w:ascii="Times New Roman;Times;Serif" w:hAnsi="Times New Roman;Times;Serif"/>
          <w:b w:val="false"/>
          <w:i w:val="false"/>
          <w:caps w:val="false"/>
          <w:smallCaps w:val="false"/>
          <w:sz w:val="20"/>
        </w:rPr>
        <w:t xml:space="preserve">1:200 basis into </w:t>
      </w:r>
      <w:bookmarkStart w:id="312" w:name="xdx_90D_eus-gaap--CommonStockSharesAutho"/>
      <w:bookmarkEnd w:id="312"/>
      <w:r>
        <w:rPr>
          <w:rFonts w:ascii="Times New Roman;Times;Serif" w:hAnsi="Times New Roman;Times;Serif"/>
          <w:b w:val="false"/>
          <w:i w:val="false"/>
          <w:caps w:val="false"/>
          <w:smallCaps w:val="false"/>
          <w:sz w:val="20"/>
        </w:rPr>
        <w:t>100,000,000,000 ordinary shares of par value US$</w:t>
      </w:r>
      <w:bookmarkStart w:id="313" w:name="xdx_90F_eus-gaap--CommonStockParOrStated"/>
      <w:bookmarkEnd w:id="313"/>
      <w:r>
        <w:rPr>
          <w:rFonts w:ascii="Times New Roman;Times;Serif" w:hAnsi="Times New Roman;Times;Serif"/>
          <w:b w:val="false"/>
          <w:i w:val="false"/>
          <w:caps w:val="false"/>
          <w:smallCaps w:val="false"/>
          <w:sz w:val="20"/>
        </w:rPr>
        <w:t xml:space="preserve">0.000005 each (the “Share Sub-Division”). Immediately following the Share Sub-Division, the shareholders surrendered an aggregate of </w:t>
      </w:r>
      <w:bookmarkStart w:id="314" w:name="xdx_90E_eus-gaap--ShareBasedCompensation"/>
      <w:bookmarkEnd w:id="314"/>
      <w:r>
        <w:rPr>
          <w:rFonts w:ascii="Times New Roman;Times;Serif" w:hAnsi="Times New Roman;Times;Serif"/>
          <w:b w:val="false"/>
          <w:i w:val="false"/>
          <w:caps w:val="false"/>
          <w:smallCaps w:val="false"/>
          <w:sz w:val="20"/>
        </w:rPr>
        <w:t>5,000,000 ordinary shares of par value US$</w:t>
      </w:r>
      <w:bookmarkStart w:id="315" w:name="xdx_900_eus-gaap--CommonStockParOrStated"/>
      <w:bookmarkEnd w:id="315"/>
      <w:r>
        <w:rPr>
          <w:rFonts w:ascii="Times New Roman;Times;Serif" w:hAnsi="Times New Roman;Times;Serif"/>
          <w:b w:val="false"/>
          <w:i w:val="false"/>
          <w:caps w:val="false"/>
          <w:smallCaps w:val="false"/>
          <w:sz w:val="20"/>
        </w:rPr>
        <w:t xml:space="preserve">0.000005, reducing the Company’s issued share capital from </w:t>
      </w:r>
      <w:bookmarkStart w:id="316" w:name="xdx_906_eus-gaap--SharesOutstanding_iI_c"/>
      <w:bookmarkEnd w:id="316"/>
      <w:r>
        <w:rPr>
          <w:rFonts w:ascii="Times New Roman;Times;Serif" w:hAnsi="Times New Roman;Times;Serif"/>
          <w:b w:val="false"/>
          <w:i w:val="false"/>
          <w:caps w:val="false"/>
          <w:smallCaps w:val="false"/>
          <w:sz w:val="20"/>
        </w:rPr>
        <w:t xml:space="preserve">20,000,000 shares to </w:t>
      </w:r>
      <w:bookmarkStart w:id="317" w:name="xdx_901_eus-gaap--SharesOutstanding_iI_c"/>
      <w:bookmarkEnd w:id="317"/>
      <w:r>
        <w:rPr>
          <w:rFonts w:ascii="Times New Roman;Times;Serif" w:hAnsi="Times New Roman;Times;Serif"/>
          <w:b w:val="false"/>
          <w:i w:val="false"/>
          <w:caps w:val="false"/>
          <w:smallCaps w:val="false"/>
          <w:sz w:val="20"/>
        </w:rPr>
        <w:t>15,000,000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Restructuring is considered as a merger of entities under common control. Under the guidance in ASC 805, for transactions between entities under common control, the assets, liabilities and results of operations, are recognized at their carrying amounts on the date of the Restructuring, which requires retrospective combination of the Company, Northen Star, Fitness Champs and Fitness Aquatics for all periods presented. The unaudited interim consolidated financial statements have been prepared as if the existing corporate structure had been in existence throughout all periods. This includes a retrospective presentation for all equity related disclosures, including issued shares and earnings per share, which have been revised to reflect the effects of the reorganization as of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Restructuring, the Company wholly owns Northen Star, which is domiciled in the British Virgin Islands. Northen Star in turn wholly owns Fitness Champs and Fitness Aquatics, which are all incorporated and domiciled in Singapore. The Company is headquartered in Singapore and conducts its operations domestically.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12, 2026, the board of directors </w:t>
      </w:r>
      <w:bookmarkStart w:id="318" w:name="xdx_909_eus-gaap--StockholdersEquityReve"/>
      <w:bookmarkEnd w:id="318"/>
      <w:r>
        <w:rPr>
          <w:rFonts w:ascii="Times New Roman;Times;Serif" w:hAnsi="Times New Roman;Times;Serif"/>
          <w:b w:val="false"/>
          <w:i w:val="false"/>
          <w:caps w:val="false"/>
          <w:smallCaps w:val="false"/>
          <w:sz w:val="20"/>
        </w:rPr>
        <w:t>approved a 15:1 reverse share split of our issued and authorized shares, such that the share capital of the Company will be US$500,000 divided into (a) 5,333,333,333.33 Class A Ordinary Shares of a nominal or par value of US$0.000075 each, (b) 666,666,666.66 Class B Ordinary Shares of a nominal or par value of US$0.000075 each, and (c) 666,666,666.66 preferred shares of a nominal or par value of US$0.000075.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24, 2026, the board of directors </w:t>
      </w:r>
      <w:bookmarkStart w:id="319" w:name="xdx_90C_eus-gaap--StockholdersEquityReve"/>
      <w:bookmarkEnd w:id="319"/>
      <w:r>
        <w:rPr>
          <w:rFonts w:ascii="Times New Roman;Times;Serif" w:hAnsi="Times New Roman;Times;Serif"/>
          <w:b w:val="false"/>
          <w:i w:val="false"/>
          <w:caps w:val="false"/>
          <w:smallCaps w:val="false"/>
          <w:sz w:val="20"/>
        </w:rPr>
        <w:t>approved a 30:1 reverse share split of our issued and unissued shares, to be effective on a date to be further determined by our board of directors, such that upon the reverse share split becoming effective, the share capital of our Company will become US$500,000 divided into (a) 177,777,777.78° class A ordinary shares of a nominal or par value of US$0.00225 each; (b) 22,222,222.22° class B ordinary shares of a nominal or par value of US$0.00225 each; and (c) 22,222,222.22° preferred shares of a nominal or par value of US$0.00225 each. On April 29, 2026, the board of directors have further resolved that the reverse share split will take effect on May 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29, 2026, the shareholders approved an increase in the Company’s authorized share capital through the creation of </w:t>
      </w:r>
      <w:bookmarkStart w:id="320" w:name="xdx_901_eus-gaap--CommonStockSharesAutho"/>
      <w:bookmarkEnd w:id="320"/>
      <w:r>
        <w:rPr>
          <w:rFonts w:ascii="Times New Roman;Times;Serif" w:hAnsi="Times New Roman;Times;Serif"/>
          <w:b w:val="false"/>
          <w:i w:val="false"/>
          <w:caps w:val="false"/>
          <w:smallCaps w:val="false"/>
          <w:sz w:val="20"/>
        </w:rPr>
        <w:t>10,000,000,000 Class A ordinary shares and the adoption of the Amended and Restated Memorandum and Articles of Association. Accordingly, the Company’s authorized share capital was increased to US$</w:t>
      </w:r>
      <w:bookmarkStart w:id="321" w:name="xdx_905_eus-gaap--InvestmentCompanyIncre"/>
      <w:bookmarkEnd w:id="321"/>
      <w:r>
        <w:rPr>
          <w:rFonts w:ascii="Times New Roman;Times;Serif" w:hAnsi="Times New Roman;Times;Serif"/>
          <w:b w:val="false"/>
          <w:i w:val="false"/>
          <w:caps w:val="false"/>
          <w:smallCaps w:val="false"/>
          <w:sz w:val="20"/>
        </w:rPr>
        <w:t xml:space="preserve">23,000,000, divided into (a) </w:t>
      </w:r>
      <w:bookmarkStart w:id="322" w:name="xdx_90D_eus-gaap--CommonStockSharesAutho"/>
      <w:bookmarkEnd w:id="322"/>
      <w:r>
        <w:rPr>
          <w:rFonts w:ascii="Times New Roman;Times;Serif" w:hAnsi="Times New Roman;Times;Serif"/>
          <w:b w:val="false"/>
          <w:i w:val="false"/>
          <w:caps w:val="false"/>
          <w:smallCaps w:val="false"/>
          <w:sz w:val="20"/>
        </w:rPr>
        <w:t xml:space="preserve">10,177,777,777.78 Class A ordinary shares, (b) </w:t>
      </w:r>
      <w:bookmarkStart w:id="323" w:name="xdx_907_eus-gaap--CommonStockSharesAutho"/>
      <w:bookmarkEnd w:id="323"/>
      <w:r>
        <w:rPr>
          <w:rFonts w:ascii="Times New Roman;Times;Serif" w:hAnsi="Times New Roman;Times;Serif"/>
          <w:b w:val="false"/>
          <w:i w:val="false"/>
          <w:caps w:val="false"/>
          <w:smallCaps w:val="false"/>
          <w:sz w:val="20"/>
        </w:rPr>
        <w:t xml:space="preserve">22,222,222.22 Class B ordinary shares, and (c) </w:t>
      </w:r>
      <w:bookmarkStart w:id="324" w:name="xdx_905_eus-gaap--CommonStockSharesAutho"/>
      <w:bookmarkEnd w:id="324"/>
      <w:r>
        <w:rPr>
          <w:rFonts w:ascii="Times New Roman;Times;Serif" w:hAnsi="Times New Roman;Times;Serif"/>
          <w:b w:val="false"/>
          <w:i w:val="false"/>
          <w:caps w:val="false"/>
          <w:smallCaps w:val="false"/>
          <w:sz w:val="20"/>
        </w:rPr>
        <w:t>22,222,222.22 preferred shares, each with a par value of US$</w:t>
      </w:r>
      <w:bookmarkStart w:id="325" w:name="xdx_909_eus-gaap--CommonStockParOrStated"/>
      <w:bookmarkEnd w:id="325"/>
      <w:r>
        <w:rPr>
          <w:rFonts w:ascii="Times New Roman;Times;Serif" w:hAnsi="Times New Roman;Times;Serif"/>
          <w:b w:val="false"/>
          <w:i w:val="false"/>
          <w:caps w:val="false"/>
          <w:smallCaps w:val="false"/>
          <w:sz w:val="20"/>
        </w:rPr>
        <w:t>0.00225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Corporate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26" w:name="xdx_89A_eus-gaap--ScheduleOfSubsidiaryOf"/>
      <w:bookmarkEnd w:id="326"/>
      <w:r>
        <w:rPr>
          <w:rFonts w:ascii="Times New Roman;Times;Serif" w:hAnsi="Times New Roman;Times;Serif"/>
          <w:b w:val="false"/>
          <w:i w:val="false"/>
          <w:caps w:val="false"/>
          <w:smallCaps w:val="false"/>
          <w:sz w:val="20"/>
        </w:rPr>
        <w:t>Details of the Company and subsidiaries as of June 30, 2026 are set out below:</w:t>
      </w:r>
    </w:p>
    <w:p>
      <w:pPr>
        <w:pStyle w:val="TextBody"/>
        <w:bidi w:val="0"/>
        <w:spacing w:before="0" w:after="0"/>
        <w:ind w:left="0" w:right="0" w:hanging="0"/>
        <w:jc w:val="both"/>
        <w:rPr>
          <w:caps w:val="false"/>
          <w:smallCaps w:val="false"/>
        </w:rPr>
      </w:pPr>
      <w:r>
        <w:rPr>
          <w:caps w:val="false"/>
          <w:smallCaps w:val="false"/>
        </w:rPr>
        <w:t> </w:t>
      </w:r>
      <w:bookmarkStart w:id="327" w:name="xdx_8B1_zlDxDdBCBnfd"/>
      <w:bookmarkEnd w:id="327"/>
      <w:r>
        <w:rPr>
          <w:rFonts w:ascii="Times New Roman;Times;Serif" w:hAnsi="Times New Roman;Times;Serif"/>
          <w:b w:val="false"/>
          <w:i w:val="false"/>
          <w:caps w:val="false"/>
          <w:smallCaps w:val="false"/>
          <w:sz w:val="20"/>
        </w:rPr>
        <w:t>Schedule of Company and Subsidiaries</w:t>
      </w:r>
    </w:p>
    <w:tbl>
      <w:tblPr>
        <w:tblW w:w="10205" w:type="dxa"/>
        <w:jc w:val="left"/>
        <w:tblInd w:w="0" w:type="dxa"/>
        <w:tblLayout w:type="fixed"/>
        <w:tblCellMar>
          <w:top w:w="0" w:type="dxa"/>
          <w:left w:w="0" w:type="dxa"/>
          <w:bottom w:w="28" w:type="dxa"/>
          <w:right w:w="0" w:type="dxa"/>
        </w:tblCellMar>
      </w:tblPr>
      <w:tblGrid>
        <w:gridCol w:w="2005"/>
        <w:gridCol w:w="60"/>
        <w:gridCol w:w="1349"/>
        <w:gridCol w:w="60"/>
        <w:gridCol w:w="965"/>
        <w:gridCol w:w="60"/>
        <w:gridCol w:w="1607"/>
        <w:gridCol w:w="60"/>
        <w:gridCol w:w="917"/>
        <w:gridCol w:w="60"/>
        <w:gridCol w:w="3062"/>
      </w:tblGrid>
      <w:tr>
        <w:trPr/>
        <w:tc>
          <w:tcPr>
            <w:tcW w:w="200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9"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w:t>
              <w:br/>
              <w:t>Date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bottom w:val="single" w:sz="8" w:space="0" w:color="000000"/>
            </w:tcBorders>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effective</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7" w:type="dxa"/>
            <w:tcBorders>
              <w:bottom w:val="single" w:sz="8" w:space="0" w:color="000000"/>
            </w:tcBorders>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 of</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62"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Activities</w:t>
            </w:r>
          </w:p>
        </w:tc>
      </w:tr>
      <w:tr>
        <w:trPr/>
        <w:tc>
          <w:tcPr>
            <w:tcW w:w="20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Fitness Champs Holdings Ltd</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49"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28" w:name="xdx_904_edei--EntityIncorporationDateOfI"/>
            <w:bookmarkEnd w:id="328"/>
            <w:r>
              <w:rPr>
                <w:rFonts w:ascii="Times New Roman;Times;Serif" w:hAnsi="Times New Roman;Times;Serif"/>
                <w:b w:val="false"/>
                <w:i w:val="false"/>
                <w:caps w:val="false"/>
                <w:smallCaps w:val="false"/>
                <w:sz w:val="20"/>
              </w:rPr>
              <w:t>February 15, 2024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62"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29" w:name="xdx_909_eus-gaap--EquityMethodInvestment"/>
            <w:bookmarkEnd w:id="329"/>
            <w:r>
              <w:rPr>
                <w:rFonts w:ascii="Times New Roman;Times;Serif" w:hAnsi="Times New Roman;Times;Serif"/>
                <w:b w:val="false"/>
                <w:i w:val="false"/>
                <w:caps w:val="false"/>
                <w:smallCaps w:val="false"/>
                <w:sz w:val="20"/>
              </w:rPr>
              <w:t>Investment holding</w:t>
            </w:r>
          </w:p>
        </w:tc>
      </w:tr>
      <w:tr>
        <w:trPr/>
        <w:tc>
          <w:tcPr>
            <w:tcW w:w="20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Northen Star Limited</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49"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30" w:name="xdx_90C_edei--EntityIncorporationDateOfI"/>
            <w:bookmarkEnd w:id="330"/>
            <w:r>
              <w:rPr>
                <w:rFonts w:ascii="Times New Roman;Times;Serif" w:hAnsi="Times New Roman;Times;Serif"/>
                <w:b w:val="false"/>
                <w:i w:val="false"/>
                <w:caps w:val="false"/>
                <w:smallCaps w:val="false"/>
                <w:sz w:val="20"/>
              </w:rPr>
              <w:t>December 12, 2023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331" w:name="xdx_985_eus-gaap--EquityMethodInvestment"/>
            <w:bookmarkEnd w:id="331"/>
          </w:p>
        </w:tc>
        <w:tc>
          <w:tcPr>
            <w:tcW w:w="96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British Virgin Islands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6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32" w:name="xdx_90B_eus-gaap--EquityMethodInvestment"/>
            <w:bookmarkEnd w:id="332"/>
            <w:r>
              <w:rPr>
                <w:rFonts w:ascii="Times New Roman;Times;Serif" w:hAnsi="Times New Roman;Times;Serif"/>
                <w:b w:val="false"/>
                <w:i w:val="false"/>
                <w:caps w:val="false"/>
                <w:smallCaps w:val="false"/>
                <w:sz w:val="20"/>
              </w:rPr>
              <w:t>Investment holding</w:t>
            </w:r>
          </w:p>
        </w:tc>
      </w:tr>
      <w:tr>
        <w:trPr/>
        <w:tc>
          <w:tcPr>
            <w:tcW w:w="20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Fitness Champs Pte Ltd</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49"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33" w:name="xdx_900_edei--EntityIncorporationDateOfI"/>
            <w:bookmarkEnd w:id="333"/>
            <w:r>
              <w:rPr>
                <w:rFonts w:ascii="Times New Roman;Times;Serif" w:hAnsi="Times New Roman;Times;Serif"/>
                <w:b w:val="false"/>
                <w:i w:val="false"/>
                <w:caps w:val="false"/>
                <w:smallCaps w:val="false"/>
                <w:sz w:val="20"/>
              </w:rPr>
              <w:t>December 5, 2012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334" w:name="xdx_98E_eus-gaap--EquityMethodInvestment"/>
            <w:bookmarkEnd w:id="334"/>
          </w:p>
        </w:tc>
        <w:tc>
          <w:tcPr>
            <w:tcW w:w="96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62"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35" w:name="xdx_901_eus-gaap--EquityMethodInvestment"/>
            <w:bookmarkEnd w:id="335"/>
            <w:r>
              <w:rPr>
                <w:rFonts w:ascii="Times New Roman;Times;Serif" w:hAnsi="Times New Roman;Times;Serif"/>
                <w:b w:val="false"/>
                <w:i w:val="false"/>
                <w:caps w:val="false"/>
                <w:smallCaps w:val="false"/>
                <w:sz w:val="20"/>
              </w:rPr>
              <w:t>Principally engaged in the providing sport of swimming in public schools in Singapore</w:t>
            </w:r>
          </w:p>
        </w:tc>
      </w:tr>
      <w:tr>
        <w:trPr/>
        <w:tc>
          <w:tcPr>
            <w:tcW w:w="20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Fitness Champs Aquatics Pte Ltd</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49"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36" w:name="xdx_900_edei--EntityIncorporationDateOfI"/>
            <w:bookmarkEnd w:id="336"/>
            <w:r>
              <w:rPr>
                <w:rFonts w:ascii="Times New Roman;Times;Serif" w:hAnsi="Times New Roman;Times;Serif"/>
                <w:b w:val="false"/>
                <w:i w:val="false"/>
                <w:caps w:val="false"/>
                <w:smallCaps w:val="false"/>
                <w:sz w:val="20"/>
              </w:rPr>
              <w:t>July 15, 2015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337" w:name="xdx_98C_eus-gaap--EquityMethodInvestment"/>
            <w:bookmarkEnd w:id="337"/>
          </w:p>
        </w:tc>
        <w:tc>
          <w:tcPr>
            <w:tcW w:w="96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6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38" w:name="xdx_907_eus-gaap--EquityMethodInvestment"/>
            <w:bookmarkEnd w:id="338"/>
            <w:r>
              <w:rPr>
                <w:rFonts w:ascii="Times New Roman;Times;Serif" w:hAnsi="Times New Roman;Times;Serif"/>
                <w:b w:val="false"/>
                <w:i w:val="false"/>
                <w:caps w:val="false"/>
                <w:smallCaps w:val="false"/>
                <w:sz w:val="20"/>
              </w:rPr>
              <w:t>Principally engaged in the providing sport of swimming for private sector students</w:t>
            </w:r>
          </w:p>
        </w:tc>
      </w:tr>
      <w:tr>
        <w:trPr/>
        <w:tc>
          <w:tcPr>
            <w:tcW w:w="2005" w:type="dxa"/>
            <w:tcBorders/>
            <w:shd w:fill="CAEDFB"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Fitness Champs Excellence Sports Academy LLC</w:t>
            </w:r>
          </w:p>
        </w:tc>
        <w:tc>
          <w:tcPr>
            <w:tcW w:w="60" w:type="dxa"/>
            <w:tcBorders/>
            <w:shd w:fill="CAEDFB"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49" w:type="dxa"/>
            <w:tcBorders/>
            <w:shd w:fill="CAEDFB"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39" w:name="xdx_90E_edei--EntityIncorporationDateOfI"/>
            <w:bookmarkEnd w:id="339"/>
            <w:r>
              <w:rPr>
                <w:rFonts w:ascii="Times New Roman;Times;Serif" w:hAnsi="Times New Roman;Times;Serif"/>
                <w:b w:val="false"/>
                <w:i w:val="false"/>
                <w:caps w:val="false"/>
                <w:smallCaps w:val="false"/>
                <w:sz w:val="20"/>
              </w:rPr>
              <w:t>October 30, 2025</w:t>
            </w:r>
          </w:p>
        </w:tc>
        <w:tc>
          <w:tcPr>
            <w:tcW w:w="60" w:type="dxa"/>
            <w:tcBorders/>
            <w:shd w:fill="CAEDFB"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340" w:name="xdx_98E_eus-gaap--EquityMethodInvestment"/>
            <w:bookmarkEnd w:id="340"/>
          </w:p>
        </w:tc>
        <w:tc>
          <w:tcPr>
            <w:tcW w:w="965" w:type="dxa"/>
            <w:tcBorders/>
            <w:shd w:fill="CAEDFB"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60" w:type="dxa"/>
            <w:tcBorders/>
            <w:shd w:fill="CAEDFB"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7" w:type="dxa"/>
            <w:tcBorders/>
            <w:shd w:fill="CAEDFB"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Dubai, United Arab Emirates</w:t>
            </w:r>
          </w:p>
        </w:tc>
        <w:tc>
          <w:tcPr>
            <w:tcW w:w="60" w:type="dxa"/>
            <w:tcBorders/>
            <w:shd w:fill="CAEDFB"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AEDFB"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tc>
        <w:tc>
          <w:tcPr>
            <w:tcW w:w="60" w:type="dxa"/>
            <w:tcBorders/>
            <w:shd w:fill="CAEDFB"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62" w:type="dxa"/>
            <w:tcBorders/>
            <w:shd w:fill="CAEDFB"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41" w:name="xdx_90A_eus-gaap--EquityMethodInvestment"/>
            <w:bookmarkEnd w:id="341"/>
            <w:r>
              <w:rPr>
                <w:rFonts w:ascii="Times New Roman;Times;Serif" w:hAnsi="Times New Roman;Times;Serif"/>
                <w:b w:val="false"/>
                <w:i w:val="false"/>
                <w:caps w:val="false"/>
                <w:smallCaps w:val="false"/>
                <w:sz w:val="20"/>
              </w:rPr>
              <w:t>Principally engaged in the providing sport of swimming for private sector students</w:t>
            </w:r>
          </w:p>
        </w:tc>
      </w:tr>
    </w:tbl>
    <w:p>
      <w:pPr>
        <w:pStyle w:val="TextBody"/>
        <w:bidi w:val="0"/>
        <w:spacing w:before="0" w:after="0"/>
        <w:ind w:left="0" w:right="0" w:hanging="0"/>
        <w:jc w:val="both"/>
        <w:rPr>
          <w:caps w:val="false"/>
          <w:smallCaps w:val="false"/>
        </w:rPr>
      </w:pPr>
      <w:bookmarkStart w:id="342" w:name="xdx_8A9_zolcYvcpo5sf"/>
      <w:bookmarkEnd w:id="342"/>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3" w:name="xdx_806_eus-gaap--SignificantAccountingP"/>
      <w:bookmarkEnd w:id="343"/>
      <w:r>
        <w:rPr>
          <w:rFonts w:ascii="Times New Roman;Times;Serif" w:hAnsi="Times New Roman;Times;Serif"/>
          <w:b/>
          <w:i w:val="false"/>
          <w:caps w:val="false"/>
          <w:smallCaps w:val="false"/>
          <w:sz w:val="20"/>
        </w:rPr>
        <w:t xml:space="preserve">Note 2. </w:t>
      </w:r>
      <w:bookmarkStart w:id="344" w:name="xdx_82A_zFxhNqoejKr1"/>
      <w:bookmarkEnd w:id="344"/>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policies applied for the six months ended June 30, 2026 and 2025 are consistent with those of the audited consolidated financial statements for the years ended December 31, 2024 and 2025, as described in those audited consolidated financial statements, except for the adoption of any new and amended accounting principles generally accepted in the United States of America (“US GAAP”) effective after the year ending December 31, 2025 which are relevant to the preparation of the June 30, 2026 unaudited interim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45" w:name="xdx_864_zvOG6vJy0Ag8"/>
      <w:bookmarkStart w:id="346" w:name="xdx_84B_eus-gaap--BasisOfAccountingPolic"/>
      <w:bookmarkEnd w:id="345"/>
      <w:bookmarkEnd w:id="346"/>
      <w:r>
        <w:rPr>
          <w:rFonts w:ascii="Times New Roman;Times;Serif" w:hAnsi="Times New Roman;Times;Serif"/>
          <w:b w:val="false"/>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interim consolidated financial statements have been prepared in accordance with accounting principles generally accepted in the United States of America (“U.S. GAAP”) and pursuant to the regulations of the U.S. Securities and Exchange Commission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47" w:name="xdx_867_zNsYhfXc6ZHb"/>
      <w:bookmarkStart w:id="348" w:name="xdx_849_eus-gaap--UseOfEstimates_z8YDcRd"/>
      <w:bookmarkEnd w:id="347"/>
      <w:bookmarkEnd w:id="348"/>
      <w:r>
        <w:rPr>
          <w:rFonts w:ascii="Times New Roman;Times;Serif" w:hAnsi="Times New Roman;Times;Serif"/>
          <w:b w:val="false"/>
          <w:i/>
          <w:caps w:val="false"/>
          <w:smallCaps w:val="false"/>
          <w:sz w:val="20"/>
        </w:rPr>
        <w:t>Use of Estimates and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unaudited interim consolidated financial statements in conformity with US GAAP requires management of the Company to make a number of estimates and assumptions relating to the reported amounts of assets and liabilities and the disclosure of contingent assets and liabilities at the date of the unaudited interim consolidated financial statements and the reported amounts of revenues and expenses during the period. Actual results could differ from those estimates and judgments.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unaudited interim condensed consolidated financial statements, the significant judgments made by management in applying the Company’s accounting policies and the key sources of estimation uncertainty were the same as those that applied to the consolidated financial statements for the year ended December 31, 2024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49" w:name="xdx_86A_zi0Uo7ztdM98"/>
      <w:bookmarkStart w:id="350" w:name="xdx_84E_eus-gaap--ConsolidationPolicyTex"/>
      <w:bookmarkEnd w:id="349"/>
      <w:bookmarkEnd w:id="350"/>
      <w:r>
        <w:rPr>
          <w:rFonts w:ascii="Times New Roman;Times;Serif" w:hAnsi="Times New Roman;Times;Serif"/>
          <w:b w:val="false"/>
          <w:i/>
          <w:caps w:val="false"/>
          <w:smallCaps w:val="false"/>
          <w:sz w:val="20"/>
        </w:rPr>
        <w:t>Basis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interim consolidated financial statements include the financial statements of the Company and its subsidiaries. All significant inter-company balances and transactions within the Company have been eliminated upon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consolidation the entities should be combined for all periods that the relationship of common control started and the transaction would be treated as a capital transaction with any gain or loss on acquisition adjusted through equity. The consolidated entity would not recognize any goodwill and/or gain/losses from the acquisition and results of operations would be presented for all periods under common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interim consolidated financial statements of the Company were prepared by applying the pooling of interest method. Accordingly, the results of the Company include the results of the subsidiaries for the year ended December 31, 2025 and six months ended June 30, 2025 and 2026. Such manner of presentation reflects the economic substance of the companies, which were under common control throughout the relevant period, as a single economic enterprise, although the legal parent-subsidiary relationships were not established.</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51" w:name="xdx_867_zsiZP9QDr2zk"/>
      <w:bookmarkStart w:id="352" w:name="xdx_84C_eus-gaap--ForeignCurrencyTransac"/>
      <w:bookmarkEnd w:id="351"/>
      <w:bookmarkEnd w:id="352"/>
      <w:r>
        <w:rPr>
          <w:rFonts w:ascii="Times New Roman;Times;Serif" w:hAnsi="Times New Roman;Times;Serif"/>
          <w:b w:val="false"/>
          <w:i/>
          <w:caps w:val="false"/>
          <w:smallCaps w:val="false"/>
          <w:sz w:val="20"/>
        </w:rPr>
        <w:t>Foreign Currency Translation and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denominated in currencies other than the functional currency are translated into the functional currency at the exchange rates prevailing at the dates of the transaction. Monetary assets and liabilities denominated in currencies other than the functional currency are translated into the functional currency using the applicable exchange rates at the balance sheet dates. The resulting exchange differences are recorded in the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are presented in the Singapore Dollar (“S$”), which is the reporting currency of the Company. In addition, the Company and subsidiaries are operating in Singapore, maintain their books and record in their local currency, Singapore Dollars, which is a functional currency as being the primary currency of the economic environment in which their operations are conducted.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gains and losses that arise from exchange rate fluctuations from transactions denominated in a currency other than the functional currency are translated, as the case may be, at the rate on the date of the transaction and included in the results of operations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Translations of the unaudited interim consolidated balance sheets, unaudited interim consolidated statements of operations and comprehensive income and unaudited interim consolidated statements of cash flows from S$ into US$ as of and for the six months ended June 30, 2026 are solely for the convenience of the reader and were calculated at the rate of US$</w:t>
      </w:r>
      <w:bookmarkStart w:id="353" w:name="xdx_90C_eus-gaap--ForeignCurrencyExchang"/>
      <w:bookmarkEnd w:id="353"/>
      <w:r>
        <w:rPr>
          <w:rFonts w:ascii="Times New Roman;Times;Serif" w:hAnsi="Times New Roman;Times;Serif"/>
          <w:b w:val="false"/>
          <w:i w:val="false"/>
          <w:caps w:val="false"/>
          <w:smallCaps w:val="false"/>
          <w:sz w:val="20"/>
        </w:rPr>
        <w:t>1.00 = S$</w:t>
      </w:r>
      <w:bookmarkStart w:id="354" w:name="xdx_90C_eus-gaap--ForeignCurrencyExchang"/>
      <w:bookmarkEnd w:id="354"/>
      <w:r>
        <w:rPr>
          <w:rFonts w:ascii="Times New Roman;Times;Serif" w:hAnsi="Times New Roman;Times;Serif"/>
          <w:b w:val="false"/>
          <w:i w:val="false"/>
          <w:caps w:val="false"/>
          <w:smallCaps w:val="false"/>
          <w:sz w:val="20"/>
        </w:rPr>
        <w:t>1.2943, as set forth in the statistical release of the Federal Reserve System on June 30, 2026. No representation is made that the S$ amounts could have been, or could be, converted, realized or settled into US$ at that rate on June 30, 2026, or at any other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55" w:name="xdx_86C_zymoCm0e6Jp6"/>
      <w:bookmarkStart w:id="356" w:name="xdx_842_eus-gaap--CashAndCashEquivalents"/>
      <w:bookmarkEnd w:id="355"/>
      <w:bookmarkEnd w:id="356"/>
      <w:r>
        <w:rPr>
          <w:rFonts w:ascii="Times New Roman;Times;Serif" w:hAnsi="Times New Roman;Times;Serif"/>
          <w:b w:val="false"/>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consist primarily of cash in readily available checking and saving accounts. Cash equivalents consist of highly liquid investments that are readily convertible to cash and that mature within three months or less from the date of purchase. The carrying amounts approximate fair value due to the short maturities of these instruments. The Company maintains most of its bank accounts in 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57" w:name="xdx_86F_zl4XqKxaxFb8"/>
      <w:bookmarkStart w:id="358" w:name="xdx_842_eus-gaap--TradeAndOtherAccountsR"/>
      <w:bookmarkEnd w:id="357"/>
      <w:bookmarkEnd w:id="358"/>
      <w:r>
        <w:rPr>
          <w:rFonts w:ascii="Times New Roman;Times;Serif" w:hAnsi="Times New Roman;Times;Serif"/>
          <w:b w:val="false"/>
          <w:i/>
          <w:caps w:val="false"/>
          <w:smallCaps w:val="false"/>
          <w:sz w:val="20"/>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receivables include trade accounts due from customers in the sale of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receivables are recorded at the invoiced amount and do not bear interest, which are due within contractual payment terms. The Company seeks to maintain strict control over its outstanding receivables to minimize credit risk. Overdue balances are reviewed regularly by senior management. Management reviews its receivables on a regular basis to determine if the bad debt allowance is adequate and provides allowance when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makes estimates of expected credit losses for the allowance for doubtful accounts based upon its assessment of various factors, including (i) historical experience, (ii) the age of the accounts receivable balances, (iii) credit quality of its customers, (iv) current economic conditions, (v) reasonable and supportable forecasts of future economic conditions, and other factors that may affect its ability to collect from customers. Expected credit losses are estimated on a pool basis when similar risk characteristics exist using an age-based reserve model. Receivables that do not share risk characteristics are evaluated on an individual basis. Estimates of expected credit losses on trade receivables are recorded at inception and adjusted over the contractual life.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recognize any allowance for doubtful accounts and credit losses at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hold any collateral or other credit enhancements over its accounts receivable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59" w:name="xdx_86F_zZy3MuGmNCuc"/>
      <w:bookmarkStart w:id="360" w:name="xdx_84B_eus-gaap--PropertyPlantAndEquipm"/>
      <w:bookmarkEnd w:id="359"/>
      <w:bookmarkEnd w:id="360"/>
      <w:r>
        <w:rPr>
          <w:rFonts w:ascii="Times New Roman;Times;Serif" w:hAnsi="Times New Roman;Times;Serif"/>
          <w:b w:val="false"/>
          <w:i/>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1" w:name="xdx_891_ecustom--PropertyPlantAndEquipme"/>
      <w:bookmarkEnd w:id="361"/>
      <w:r>
        <w:rPr>
          <w:rFonts w:ascii="Times New Roman;Times;Serif" w:hAnsi="Times New Roman;Times;Serif"/>
          <w:b w:val="false"/>
          <w:i w:val="false"/>
          <w:caps w:val="false"/>
          <w:smallCaps w:val="false"/>
          <w:sz w:val="20"/>
        </w:rPr>
        <w:t>Property and equipment are stated at cost less accumulated depreciation and accumulated impairment losses, if any. Depreciation is calculated on the straight-line basis over the following expected useful lives from the date on which they become fully operational and after taking into account their estimated residual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bookmarkStart w:id="362" w:name="xdx_8B0_zOIT7W5QtHh3"/>
      <w:bookmarkEnd w:id="362"/>
      <w:r>
        <w:rPr>
          <w:rFonts w:ascii="Times New Roman;Times;Serif" w:hAnsi="Times New Roman;Times;Serif"/>
          <w:b w:val="false"/>
          <w:i w:val="false"/>
          <w:caps w:val="false"/>
          <w:smallCaps w:val="false"/>
          <w:sz w:val="20"/>
        </w:rPr>
        <w:t>Schedule of Property and Equipment Estimated Useful Lives</w:t>
      </w:r>
    </w:p>
    <w:tbl>
      <w:tblPr>
        <w:tblW w:w="5425" w:type="dxa"/>
        <w:jc w:val="left"/>
        <w:tblInd w:w="0" w:type="dxa"/>
        <w:tblLayout w:type="fixed"/>
        <w:tblCellMar>
          <w:top w:w="0" w:type="dxa"/>
          <w:left w:w="0" w:type="dxa"/>
          <w:bottom w:w="0" w:type="dxa"/>
          <w:right w:w="0" w:type="dxa"/>
        </w:tblCellMar>
      </w:tblPr>
      <w:tblGrid>
        <w:gridCol w:w="2795"/>
        <w:gridCol w:w="60"/>
        <w:gridCol w:w="60"/>
        <w:gridCol w:w="2435"/>
        <w:gridCol w:w="75"/>
      </w:tblGrid>
      <w:tr>
        <w:trPr/>
        <w:tc>
          <w:tcPr>
            <w:tcW w:w="27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43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Expected useful life</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both"/>
              <w:rPr/>
            </w:pPr>
            <w:r>
              <w:rPr/>
              <w:t>Computer &amp; software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5" w:type="dxa"/>
            <w:tcBorders/>
            <w:shd w:fill="CCEEFF" w:val="clear"/>
            <w:vAlign w:val="center"/>
          </w:tcPr>
          <w:p>
            <w:pPr>
              <w:pStyle w:val="TableContents"/>
              <w:bidi w:val="0"/>
              <w:spacing w:before="0" w:after="283"/>
              <w:jc w:val="center"/>
              <w:rPr>
                <w:rFonts w:ascii="Times New Roman;Times;Serif" w:hAnsi="Times New Roman;Times;Serif"/>
                <w:sz w:val="20"/>
              </w:rPr>
            </w:pPr>
            <w:bookmarkStart w:id="363" w:name="xdx_902_eus-gaap--PropertyPlantAndEquipm"/>
            <w:bookmarkEnd w:id="363"/>
            <w:r>
              <w:rPr>
                <w:rFonts w:ascii="Times New Roman;Times;Serif" w:hAnsi="Times New Roman;Times;Serif"/>
                <w:sz w:val="20"/>
              </w:rPr>
              <w:t>3 years</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both"/>
              <w:rPr/>
            </w:pPr>
            <w:r>
              <w:rPr/>
              <w:t>Fixtures and fittings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5" w:type="dxa"/>
            <w:tcBorders/>
            <w:shd w:fill="FFFFFF" w:val="clear"/>
            <w:vAlign w:val="center"/>
          </w:tcPr>
          <w:p>
            <w:pPr>
              <w:pStyle w:val="TableContents"/>
              <w:bidi w:val="0"/>
              <w:spacing w:before="0" w:after="283"/>
              <w:jc w:val="center"/>
              <w:rPr>
                <w:rFonts w:ascii="Times New Roman;Times;Serif" w:hAnsi="Times New Roman;Times;Serif"/>
                <w:sz w:val="20"/>
              </w:rPr>
            </w:pPr>
            <w:bookmarkStart w:id="364" w:name="xdx_903_eus-gaap--PropertyPlantAndEquipm"/>
            <w:bookmarkEnd w:id="364"/>
            <w:r>
              <w:rPr>
                <w:rFonts w:ascii="Times New Roman;Times;Serif" w:hAnsi="Times New Roman;Times;Serif"/>
                <w:sz w:val="20"/>
              </w:rPr>
              <w:t>3 years</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both"/>
              <w:rPr/>
            </w:pPr>
            <w:r>
              <w:rPr/>
              <w:t>Leasehold industrial property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5" w:type="dxa"/>
            <w:tcBorders/>
            <w:shd w:fill="CCEEFF" w:val="clear"/>
            <w:vAlign w:val="center"/>
          </w:tcPr>
          <w:p>
            <w:pPr>
              <w:pStyle w:val="TableContents"/>
              <w:bidi w:val="0"/>
              <w:spacing w:before="0" w:after="283"/>
              <w:jc w:val="center"/>
              <w:rPr>
                <w:rFonts w:ascii="Times New Roman;Times;Serif" w:hAnsi="Times New Roman;Times;Serif"/>
                <w:sz w:val="20"/>
              </w:rPr>
            </w:pPr>
            <w:bookmarkStart w:id="365" w:name="xdx_901_eus-gaap--PropertyPlantAndEquipm"/>
            <w:bookmarkEnd w:id="365"/>
            <w:r>
              <w:rPr>
                <w:rFonts w:ascii="Times New Roman;Times;Serif" w:hAnsi="Times New Roman;Times;Serif"/>
                <w:sz w:val="20"/>
              </w:rPr>
              <w:t>Over the remaining lease term</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both"/>
              <w:rPr/>
            </w:pPr>
            <w:r>
              <w:rPr/>
              <w:t>Renovations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5" w:type="dxa"/>
            <w:tcBorders/>
            <w:shd w:fill="FFFFFF" w:val="clear"/>
            <w:vAlign w:val="center"/>
          </w:tcPr>
          <w:p>
            <w:pPr>
              <w:pStyle w:val="TableContents"/>
              <w:bidi w:val="0"/>
              <w:spacing w:before="0" w:after="283"/>
              <w:jc w:val="center"/>
              <w:rPr>
                <w:rFonts w:ascii="Times New Roman;Times;Serif" w:hAnsi="Times New Roman;Times;Serif"/>
                <w:sz w:val="20"/>
              </w:rPr>
            </w:pPr>
            <w:bookmarkStart w:id="366" w:name="xdx_90A_eus-gaap--PropertyPlantAndEquipm"/>
            <w:bookmarkEnd w:id="366"/>
            <w:r>
              <w:rPr>
                <w:rFonts w:ascii="Times New Roman;Times;Serif" w:hAnsi="Times New Roman;Times;Serif"/>
                <w:sz w:val="20"/>
              </w:rPr>
              <w:t>5 years</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67" w:name="xdx_8AE_z6y0UJV8jQhf"/>
      <w:bookmarkEnd w:id="36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 for repairs and maintenance is expensed as incurred. When assets have retired or sold, the cost and related accumulated depreciation are removed from the accounts and any resulting gain or loss is recognized in the results of operations.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68" w:name="xdx_865_zpCxEbyypI2c"/>
      <w:bookmarkStart w:id="369" w:name="xdx_846_eus-gaap--GoodwillAndIntangibleA"/>
      <w:bookmarkEnd w:id="368"/>
      <w:bookmarkEnd w:id="369"/>
      <w:r>
        <w:rPr>
          <w:rFonts w:ascii="Times New Roman;Times;Serif" w:hAnsi="Times New Roman;Times;Serif"/>
          <w:b w:val="false"/>
          <w:i/>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intangible assets with determinable useful lives is amortized to reflect the pattern of economic benefits. Software, technology, and other intangibles with contractual terms are generally amortized over their respective legal or contractual lives. When certain events or changes in operating conditions occur, an impairment assessment is performed and lives of intangible assets with determinable lives may be adjusted.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0" w:name="xdx_89E_eus-gaap--FiniteLivedAndIndefini"/>
      <w:bookmarkEnd w:id="370"/>
      <w:r>
        <w:rPr>
          <w:rFonts w:ascii="Times New Roman;Times;Serif" w:hAnsi="Times New Roman;Times;Serif"/>
          <w:b w:val="false"/>
          <w:i w:val="false"/>
          <w:caps w:val="false"/>
          <w:smallCaps w:val="false"/>
          <w:sz w:val="20"/>
        </w:rPr>
        <w:t>Intangible assets with finite useful lives are amortized over the estimated economic lives of the intangible assets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1" w:name="xdx_8B6_zQX68LneNYg9"/>
      <w:bookmarkEnd w:id="371"/>
      <w:r>
        <w:rPr>
          <w:rFonts w:ascii="Times New Roman;Times;Serif" w:hAnsi="Times New Roman;Times;Serif"/>
          <w:b w:val="false"/>
          <w:i w:val="false"/>
          <w:caps w:val="false"/>
          <w:smallCaps w:val="false"/>
          <w:sz w:val="20"/>
        </w:rPr>
        <w:t>Schedule of Finite Useful Lives are Amortized Intangible Assets</w:t>
      </w:r>
    </w:p>
    <w:tbl>
      <w:tblPr>
        <w:tblW w:w="3460" w:type="dxa"/>
        <w:jc w:val="left"/>
        <w:tblInd w:w="0" w:type="dxa"/>
        <w:tblLayout w:type="fixed"/>
        <w:tblCellMar>
          <w:top w:w="0" w:type="dxa"/>
          <w:left w:w="0" w:type="dxa"/>
          <w:bottom w:w="0" w:type="dxa"/>
          <w:right w:w="0" w:type="dxa"/>
        </w:tblCellMar>
      </w:tblPr>
      <w:tblGrid>
        <w:gridCol w:w="1625"/>
        <w:gridCol w:w="60"/>
        <w:gridCol w:w="60"/>
        <w:gridCol w:w="1640"/>
        <w:gridCol w:w="75"/>
      </w:tblGrid>
      <w:tr>
        <w:trPr/>
        <w:tc>
          <w:tcPr>
            <w:tcW w:w="162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4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Expected useful life</w:t>
            </w:r>
          </w:p>
        </w:tc>
        <w:tc>
          <w:tcPr>
            <w:tcW w:w="75"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283"/>
              <w:jc w:val="both"/>
              <w:rPr/>
            </w:pPr>
            <w:r>
              <w:rPr/>
              <w:t>Software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center"/>
              <w:rPr>
                <w:rFonts w:ascii="Times New Roman;Times;Serif" w:hAnsi="Times New Roman;Times;Serif"/>
                <w:sz w:val="20"/>
              </w:rPr>
            </w:pPr>
            <w:bookmarkStart w:id="372" w:name="xdx_906_eus-gaap--FiniteLivedIntangibleA"/>
            <w:bookmarkEnd w:id="372"/>
            <w:r>
              <w:rPr>
                <w:rFonts w:ascii="Times New Roman;Times;Serif" w:hAnsi="Times New Roman;Times;Serif"/>
                <w:sz w:val="20"/>
              </w:rPr>
              <w:t>5 years</w:t>
            </w:r>
          </w:p>
        </w:tc>
        <w:tc>
          <w:tcPr>
            <w:tcW w:w="75" w:type="dxa"/>
            <w:tcBorders/>
            <w:shd w:fill="CCEE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283"/>
              <w:jc w:val="both"/>
              <w:rPr/>
            </w:pPr>
            <w:r>
              <w:rPr/>
              <w:t>Student portfolio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center"/>
              <w:rPr>
                <w:rFonts w:ascii="Times New Roman;Times;Serif" w:hAnsi="Times New Roman;Times;Serif"/>
                <w:sz w:val="20"/>
              </w:rPr>
            </w:pPr>
            <w:bookmarkStart w:id="373" w:name="xdx_90B_eus-gaap--FiniteLivedIntangibleA"/>
            <w:bookmarkEnd w:id="373"/>
            <w:r>
              <w:rPr>
                <w:rFonts w:ascii="Times New Roman;Times;Serif" w:hAnsi="Times New Roman;Times;Serif"/>
                <w:sz w:val="20"/>
              </w:rPr>
              <w:t>2 years</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74" w:name="xdx_8AC_zP4kmEArd5R3"/>
      <w:bookmarkEnd w:id="374"/>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75" w:name="xdx_869_zD6hq8B2hNc3"/>
      <w:bookmarkStart w:id="376" w:name="xdx_846_eus-gaap--ImpairmentOrDisposalOf"/>
      <w:bookmarkEnd w:id="375"/>
      <w:bookmarkEnd w:id="376"/>
      <w:r>
        <w:rPr>
          <w:rFonts w:ascii="Times New Roman;Times;Serif" w:hAnsi="Times New Roman;Times;Serif"/>
          <w:b w:val="false"/>
          <w:i/>
          <w:caps w:val="false"/>
          <w:smallCaps w:val="false"/>
          <w:sz w:val="20"/>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provisions of ASC Topic 360, Impairment or Disposal of Long-Lived Assets, all long-lived assets such as property and equipment, right of use and intangible assets owned and held by the Company are reviewed for impairment whenever events or changes in circumstances indicate that the carrying amount of an asset may not be recoverable. Recoverability of assets to be held and used is evaluated by a comparison of the carrying amount of an asset to its estimated future undiscounted cash flows expected to be generated by the asset. If such assets are considered to be impaired, the impairment to be recognized is measured by the amount by which the carrying amounts of the assets exceed the fair value of the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77" w:name="xdx_865_z4NGEKgMwg4k"/>
      <w:bookmarkStart w:id="378" w:name="xdx_84D_eus-gaap--RevenueRecognitionPoli"/>
      <w:bookmarkEnd w:id="377"/>
      <w:bookmarkEnd w:id="378"/>
      <w:r>
        <w:rPr>
          <w:rFonts w:ascii="Times New Roman;Times;Serif" w:hAnsi="Times New Roman;Times;Serif"/>
          <w:b w:val="false"/>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receives a certain portion of its non-interest income from contracts with customers, which are accounted for in accordance with Accounting Standards Update (“ASU”) No. 2014-09, Revenue from Contracts with Customers (Topic 606) (“ASC 606”).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606-10 provided the following overview of how revenue is recognized from the Company’s contracts with customers: The Company recognizes revenue on a gross basis to depict the transfer of promised goods or services to customers in an amount that reflects the consideration to which the Company expects to be entitled in exchange for those goods or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1: Identify the contract(s) with a customer.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2: Identify the performance obligations in the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3: Determine the transaction price – The transaction price is the amount of consideration in a contract to which an entity expects to be entitled in exchange for transferring promised goods or services to a customer.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4: Allocate the transaction price to the performance obligations in the contract – Any entity typically allocates the transaction price to each performance obligation on the basis of the relative standalone selling prices of each distinct good or service promised in the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5: Recognize revenue when (or as) the entity satisfies a performance obligation – An entity recognizes revenue when (or as) it satisfies a performance obligation by transferring a promised good or service to a customer (which is when the customer obtains control of that good or service). The amount of revenue recognized is the amount allocated to the satisfied performance obligation. A performance obligation may be satisfied at a point in time (typically for promises to transfer goods to a customer) or over time (typically for promises to transfer service to a customer).</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generates its revenue from the following main 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goods sold and services provided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measured based on the consideration specified in a contract with a customer. The Group recognizes revenue when it satisfies a performance obligation by transferring control of promised goods or services to the customer. The amount of revenue recognized is the amount of the transaction price allocated to the satisfied performance obligation. The amount of revenue presented is the amount net of goods and service taxes and discounts and referral rebates.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School-based Swimming Lessons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school-based swimming lessons is recognized over time when the Group satisfies its performance obligation by conducting swimming classes to the student.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Private swimming lessons and aquatic sports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private swimming lessons and aquatics sports is recognized over time when the Group satisfies its performance obligation by conducting swimming classes to the student.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Sales of merchandise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sales of merchandise is recognized at a point in time when the Group satisfies its performance obligation by transferring the control of a promised merchandise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Pickleball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Pickleball is recognized over time when the Group satisfies its performance obligation by conducting pickleball classes to the student.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79" w:name="xdx_86F_zgtsUSGFjpb7"/>
      <w:bookmarkStart w:id="380" w:name="xdx_847_eus-gaap--GovernmentAssistancePo"/>
      <w:bookmarkEnd w:id="379"/>
      <w:bookmarkEnd w:id="380"/>
      <w:r>
        <w:rPr>
          <w:rFonts w:ascii="Times New Roman;Times;Serif" w:hAnsi="Times New Roman;Times;Serif"/>
          <w:b w:val="false"/>
          <w:i/>
          <w:caps w:val="false"/>
          <w:smallCaps w:val="false"/>
          <w:sz w:val="20"/>
        </w:rPr>
        <w:t>Government Grants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government grant or subsidy is not recognized until there is reasonable assurance that: (a) the enterprise will comply with the conditions attached to the grant; and (b) the grant will be received. When the Company receives government grant or subsidies but the conditions attached to the grants have not been fulfilled, such government subsidies are deferred and recorded under other payables and accrued expenses, and other long-term liability. The classification of short-term or long-term liabilities is dependent on the management’s expectation of when the conditions attached to the grant can be fulfilled.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81" w:name="xdx_86A_zHdUt6zWkAl2"/>
      <w:bookmarkStart w:id="382" w:name="xdx_843_eus-gaap--SellingGeneralAndAdmin"/>
      <w:bookmarkEnd w:id="381"/>
      <w:bookmarkEnd w:id="382"/>
      <w:r>
        <w:rPr>
          <w:rFonts w:ascii="Times New Roman;Times;Serif" w:hAnsi="Times New Roman;Times;Serif"/>
          <w:b w:val="false"/>
          <w:i/>
          <w:caps w:val="false"/>
          <w:smallCaps w:val="false"/>
          <w:sz w:val="20"/>
        </w:rPr>
        <w:t>Selling and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distribution expenses include the costs of advertising, promotions and entertainment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83" w:name="xdx_867_zygWPFUpDHxi"/>
      <w:bookmarkStart w:id="384" w:name="xdx_840_eus-gaap--ComprehensiveIncomePol"/>
      <w:bookmarkEnd w:id="383"/>
      <w:bookmarkEnd w:id="384"/>
      <w:r>
        <w:rPr>
          <w:rFonts w:ascii="Times New Roman;Times;Serif" w:hAnsi="Times New Roman;Times;Serif"/>
          <w:b w:val="false"/>
          <w:i/>
          <w:caps w:val="false"/>
          <w:smallCaps w:val="false"/>
          <w:sz w:val="20"/>
        </w:rPr>
        <w:t>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Topic 220, Comprehensive Income, establishes standards for reporting and display of comprehensive income, its components and accumulated balances. Comprehensive income as defined includes all changes in equity during a period from non-owner sources. Accumulated other comprehensive income, as presented in the accompanying statement of shareholder’s equity, consists of changes in unrealized gains and losses on foreign currency translation. This comprehensive income is not included in the computation of income tax expense or benefit.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85" w:name="xdx_86D_zRx5EZOt1fO5"/>
      <w:bookmarkStart w:id="386" w:name="xdx_846_eus-gaap--IncomeTaxPolicyTextBlo"/>
      <w:bookmarkEnd w:id="385"/>
      <w:bookmarkEnd w:id="386"/>
      <w:r>
        <w:rPr>
          <w:rFonts w:ascii="Times New Roman;Times;Serif" w:hAnsi="Times New Roman;Times;Serif"/>
          <w:b w:val="false"/>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determined in accordance with the provisions of ASC Topic 740, Income Taxes (“ASC 740”).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this method,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income tax rates expected to apply to taxable income in the years in which those temporary differences are expected to be recovered or settled. Any effect on deferred tax assets and liabilities of a change in tax rates is recognized in income in the period that includes the enactment 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740 prescribes a comprehensive model for how companies should recognize, measure, present, and disclose in their financial statements uncertain tax positions taken or expected to be taken on a tax return. Under ASC 740, tax positions must initially be recognized in the financial statements when it is more likely than not the position will be sustained upon examination by the tax authorities. Such tax positions must initially and subsequently be measured as the largest amount of tax benefit that has a greater than 50% likelihood of being realized upon ultimate settlement with the tax authority assuming full knowledge of the position and relevant facts.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and six months ended June 30, 2026, the Company did not have any interest and penalties associated with tax positions. As of December 31, 2025 and June 30, 2026, the Company did not have any significant unrecognized uncertain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tax in local and foreign jurisdiction. As a result of its business activities, the Company files tax returns that are subject to examination by the relevant tax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87" w:name="xdx_86D_zM5aIGoA2ofh"/>
      <w:bookmarkStart w:id="388" w:name="xdx_84C_eus-gaap--LesseeLeasesPolicyText"/>
      <w:bookmarkEnd w:id="387"/>
      <w:bookmarkEnd w:id="388"/>
      <w:r>
        <w:rPr>
          <w:rFonts w:ascii="Times New Roman;Times;Serif" w:hAnsi="Times New Roman;Times;Serif"/>
          <w:b w:val="false"/>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from January 1, 2020, the Company adopted the guidance of ASC 842, Leases, which requires an entity to recognize a right-of-use asset and a lease liability for virtually all leases. On February 25, 2016, the FASB issued Accounting Standards Update No. 2016-02, Leases (Topic 842), to increase transparency and comparability among organizations by recognizing lease assets and lease liabilities on the balance sheet and disclosing key information about leasing transactions. ASC 842 requires that lessees recognize right-of-use assets and lease liabilities calculated based on the present value of lease payments for all lease agreements with terms that are greater than twelve months. It requires for leases longer than one year, a lessee to recognize in the statement of financial condition a right-of-use asset, representing the right to use the underlying asset for the lease term, and a lease liability, representing the liability to make lease payments. ASC 842 distinguishes leases as either a finance lease or an operating lease that affects how the leases are measured and presented in the statement of operations and statement of cash flows. ASC 842 supersedes nearly all existing lease accounting guidance under GAAP issued by the Financial Accounting Standards Board (“FASB”) including ASC Topic 840,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update also requires that for finance leases, a lessee recognize interest expense on the lease liability, separately from the amortization of the right-of-use asset in the statements of earnings, while for operating leases, such amounts should be recognized as a combined expense. In addition, this accounting update requires expanded disclosures about the nature and terms of lease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89" w:name="xdx_86B_zI9YOyADZksg"/>
      <w:bookmarkStart w:id="390" w:name="xdx_840_eus-gaap--SegmentReportingPolicy"/>
      <w:bookmarkEnd w:id="389"/>
      <w:bookmarkEnd w:id="390"/>
      <w:r>
        <w:rPr>
          <w:rFonts w:ascii="Times New Roman;Times;Serif" w:hAnsi="Times New Roman;Times;Serif"/>
          <w:b w:val="false"/>
          <w:i/>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280, “Segment Reporting”, establishes standards for reporting information about operating segments on a basis consistent with the Company’s internal organizational structure as well as information about geographical areas, business segments and major clients in financial statements for detailing the Company’s business segments. Based on the criteria established by ASC 280, the Company’s chief operating decision maker (“CODM”) has been identified as the Chief Executive Officer, who reviews unaudited interim consolidated results when making decisions about allocating resources and assessing performance of the Company. As a whole and hence, the Company has only three reportable segments. As the Company’s long-lived assets are substantially located in Singapore, no geographical segments are presented.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91" w:name="xdx_869_z1BetqYv82h8"/>
      <w:bookmarkStart w:id="392" w:name="xdx_848_ecustom--RelatedPartiesPolicyTex"/>
      <w:bookmarkEnd w:id="391"/>
      <w:bookmarkEnd w:id="392"/>
      <w:r>
        <w:rPr>
          <w:rFonts w:ascii="Times New Roman;Times;Serif" w:hAnsi="Times New Roman;Times;Serif"/>
          <w:b w:val="false"/>
          <w:i/>
          <w:caps w:val="false"/>
          <w:smallCaps w:val="false"/>
          <w:sz w:val="20"/>
        </w:rPr>
        <w:t>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the ASC 850-10, Related Party for the identification of related parties and disclosure of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850-10-20 the related parties include: a) affiliates of the Company; b) entities for which investments in their equity securities would be required, absent the election of the fair value option under the Fair Value Option Subsection of section 825–10–15, to be accounted for by the equity method by the investing entity; c) trusts for the benefit of employees, such as pension and income-sharing trusts that are managed by or under the trusteeship of management; d) principal owners of the Company; e) management of the Company; f) other parties with which the Company may deal if one party controls or can significantly influence the management or operating policies of the other to an extent that one of the transacting parties might be prevented from fully pursuing its own separate interests; and g) other parties that can significantly influence the management or operating policies of the transacting parties or that have an ownership interest in one of the transacting parties and can significantly influence the other to an extent that one or more of the transacting parties might be prevented from fully pursuing its own separate interests.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93" w:name="xdx_863_zrRaYrwDxM27"/>
      <w:bookmarkStart w:id="394" w:name="xdx_844_eus-gaap--CommitmentsAndContinge"/>
      <w:bookmarkEnd w:id="393"/>
      <w:bookmarkEnd w:id="394"/>
      <w:r>
        <w:rPr>
          <w:rFonts w:ascii="Times New Roman;Times;Serif" w:hAnsi="Times New Roman;Times;Serif"/>
          <w:b w:val="false"/>
          <w:i/>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is subject to commitments and contingencies, including operating lease commitments, legal proceedings and claims arising out of its business that relate to a wide range of matters, such as government investigations and tax matters. The Company recognizes a liability for such contingency if it determines it is probable that a loss will occur, and a reasonable estimate of the loss can be made. The Company may consider many factors in making these assessments on liability for contingencies, including historical and the specific facts and circumstances of each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5" w:name="xdx_863_zhscBUrRqrgd"/>
      <w:bookmarkStart w:id="396" w:name="xdx_845_eus-gaap--ConcentrationRiskCredi"/>
      <w:bookmarkEnd w:id="395"/>
      <w:bookmarkEnd w:id="396"/>
      <w:r>
        <w:rPr>
          <w:rFonts w:ascii="Times New Roman;Times;Serif" w:hAnsi="Times New Roman;Times;Serif"/>
          <w:b w:val="false"/>
          <w:i w:val="false"/>
          <w:caps w:val="false"/>
          <w:smallCaps w:val="false"/>
          <w:sz w:val="20"/>
        </w:rPr>
        <w:t>Concentration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consist of cash and cash equivalents and accounts receivable. Cash and cash equivalents are maintained with high credit quality institutions, the composition and maturities of which are regularly monitored by management. As of June 30, 2025 and 2026, cash and cash equivalents of S$</w:t>
      </w:r>
      <w:bookmarkStart w:id="397" w:name="xdx_909_eus-gaap--CashAndCashEquivalents"/>
      <w:bookmarkEnd w:id="397"/>
      <w:r>
        <w:rPr>
          <w:rFonts w:ascii="Times New Roman;Times;Serif" w:hAnsi="Times New Roman;Times;Serif"/>
          <w:b w:val="false"/>
          <w:i w:val="false"/>
          <w:caps w:val="false"/>
          <w:smallCaps w:val="false"/>
          <w:sz w:val="20"/>
        </w:rPr>
        <w:t>474,000 and S$</w:t>
      </w:r>
      <w:bookmarkStart w:id="398" w:name="xdx_90E_eus-gaap--CashAndCashEquivalents"/>
      <w:bookmarkEnd w:id="398"/>
      <w:r>
        <w:rPr>
          <w:rFonts w:ascii="Times New Roman;Times;Serif" w:hAnsi="Times New Roman;Times;Serif"/>
          <w:b w:val="false"/>
          <w:i w:val="false"/>
          <w:caps w:val="false"/>
          <w:smallCaps w:val="false"/>
          <w:sz w:val="20"/>
        </w:rPr>
        <w:t>3,130,000 were maintained at financial institutions in Singapore, of which approximately S$</w:t>
      </w:r>
      <w:bookmarkStart w:id="399" w:name="xdx_908_eus-gaap--CashAndCashEquivalents"/>
      <w:bookmarkEnd w:id="399"/>
      <w:r>
        <w:rPr>
          <w:rFonts w:ascii="Times New Roman;Times;Serif" w:hAnsi="Times New Roman;Times;Serif"/>
          <w:b w:val="false"/>
          <w:i w:val="false"/>
          <w:caps w:val="false"/>
          <w:smallCaps w:val="false"/>
          <w:sz w:val="20"/>
        </w:rPr>
        <w:t>474,000 and S$</w:t>
      </w:r>
      <w:bookmarkStart w:id="400" w:name="xdx_90E_eus-gaap--CashAndCashEquivalents"/>
      <w:bookmarkEnd w:id="400"/>
      <w:r>
        <w:rPr>
          <w:rFonts w:ascii="Times New Roman;Times;Serif" w:hAnsi="Times New Roman;Times;Serif"/>
          <w:b w:val="false"/>
          <w:i w:val="false"/>
          <w:caps w:val="false"/>
          <w:smallCaps w:val="false"/>
          <w:sz w:val="20"/>
        </w:rPr>
        <w:t>3,130,000 respectively was subject to credit risk. While management believes that these financial institutions are of high credit quality, it also continually monitors their credit worthiness.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accounts receivable, the Company determines, on a continuing basis, the allowance for doubtful accounts based on the estimated realizable value. The Company identifies credit risk on a customer-by-customer basis. The information is monitored regularly by management. Concentration of credit risk arises when a group of customers having similar characteristics such that their ability to meet their obligations is expected to be affected similarly by changes in economic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01" w:name="xdx_86B_z0Wp8NYTe3Td"/>
      <w:bookmarkStart w:id="402" w:name="xdx_84D_ecustom--InterestRateRiskPolicyT"/>
      <w:bookmarkEnd w:id="401"/>
      <w:bookmarkEnd w:id="402"/>
      <w:r>
        <w:rPr>
          <w:rFonts w:ascii="Times New Roman;Times;Serif" w:hAnsi="Times New Roman;Times;Serif"/>
          <w:b w:val="false"/>
          <w:i w:val="false"/>
          <w:caps w:val="false"/>
          <w:smallCaps w:val="false"/>
          <w:sz w:val="20"/>
        </w:rPr>
        <w:t>Interest rate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interest-rate risk arises from bank borrowings. The Company manages interest rate risk by varying the issuance and maturity dates of variable rate debt, limiting the amount of variable rate debt, and continually monitoring the effects of market changes in interest rates. As of June 30, 2025 and 2026, the borrowing interest rates were at the rate of </w:t>
      </w:r>
      <w:bookmarkStart w:id="403" w:name="xdx_90A_eus-gaap--DebtInstrumentInterest"/>
      <w:bookmarkEnd w:id="403"/>
      <w:r>
        <w:rPr>
          <w:rFonts w:ascii="Times New Roman;Times;Serif" w:hAnsi="Times New Roman;Times;Serif"/>
          <w:b w:val="false"/>
          <w:i w:val="false"/>
          <w:caps w:val="false"/>
          <w:smallCaps w:val="false"/>
          <w:sz w:val="20"/>
        </w:rPr>
        <w:t xml:space="preserve">4.77% and at the rate of </w:t>
      </w:r>
      <w:bookmarkStart w:id="404" w:name="xdx_90B_eus-gaap--DebtInstrumentInterest"/>
      <w:bookmarkEnd w:id="404"/>
      <w:r>
        <w:rPr>
          <w:rFonts w:ascii="Times New Roman;Times;Serif" w:hAnsi="Times New Roman;Times;Serif"/>
          <w:b w:val="false"/>
          <w:i w:val="false"/>
          <w:caps w:val="false"/>
          <w:smallCaps w:val="false"/>
          <w:sz w:val="20"/>
        </w:rPr>
        <w:t>1.45%, respectively. Interest rate risk is the risk that the fair value of future cash flows of the Company’s financial instruments will fluctuate because of the change in market interest rates. The Company’s exposure to interest rates risk arises mainly from its interest-bearing financial liabilities. The Company periodically reviews its liabilities and monitors interest rate fluctuations to ensure that the exposure to interest rate risk is within acceptable levels. The interest-bearing financial liabilities are usually at fixed interest rates except for the property loan. The Company does not utilize interest rate derivatives to minimize its interest rate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05" w:name="xdx_86E_z9cV7GS5Ha2h"/>
      <w:bookmarkStart w:id="406" w:name="xdx_846_ecustom--LiquidityRiskPolicyText"/>
      <w:bookmarkEnd w:id="405"/>
      <w:bookmarkEnd w:id="406"/>
      <w:r>
        <w:rPr>
          <w:rFonts w:ascii="Times New Roman;Times;Serif" w:hAnsi="Times New Roman;Times;Serif"/>
          <w:b w:val="false"/>
          <w:i w:val="false"/>
          <w:caps w:val="false"/>
          <w:smallCaps w:val="false"/>
          <w:sz w:val="20"/>
        </w:rPr>
        <w:t>Liquidity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risk is the risk that the Company will not be able to meet its financial obligations as they become due. The Company’s policy is to ensure that it has sufficient cash to meet its liabilities when they become due, under both normal and stressed conditions, without incurring unacceptable losses or risking damage to the Company’s reputation. A key risk in managing liquidity is the degree of uncertainty in the cash flow projections. If future cash flows are fairly uncertain, the liquidity risk increases.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07" w:name="xdx_861_zJz8tgv4Nv4b"/>
      <w:bookmarkStart w:id="408" w:name="xdx_845_eus-gaap--FairValueMeasurementPo"/>
      <w:bookmarkEnd w:id="407"/>
      <w:bookmarkEnd w:id="408"/>
      <w:r>
        <w:rPr>
          <w:rFonts w:ascii="Times New Roman;Times;Serif" w:hAnsi="Times New Roman;Times;Serif"/>
          <w:b w:val="false"/>
          <w:i w:val="false"/>
          <w:caps w:val="false"/>
          <w:smallCaps w:val="false"/>
          <w:sz w:val="20"/>
        </w:rPr>
        <w:t>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the guidance of the ASC Topic 820-10, Fair Value Measurement and Disclosure (“ASC 820-10”), with respect to financial assets and liabilities that are measured at fair value. ASC 820-10 establishes a three-tier fair value hierarchy that prioritizes the inputs used in measuring fair value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25"/>
        <w:gridCol w:w="9620"/>
      </w:tblGrid>
      <w:tr>
        <w:trPr/>
        <w:tc>
          <w:tcPr>
            <w:tcW w:w="60"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w:t>
            </w:r>
          </w:p>
        </w:tc>
        <w:tc>
          <w:tcPr>
            <w:tcW w:w="9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Inputs are based upon unadjusted quoted prices for identical instruments traded in active markets;</w:t>
            </w:r>
          </w:p>
        </w:tc>
      </w:tr>
      <w:tr>
        <w:trPr/>
        <w:tc>
          <w:tcPr>
            <w:tcW w:w="60"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both"/>
              <w:rPr>
                <w:caps w:val="false"/>
                <w:smallCaps w:val="false"/>
              </w:rPr>
            </w:pPr>
            <w:r>
              <w:rPr>
                <w:caps w:val="false"/>
                <w:smallCaps w:val="false"/>
              </w:rPr>
              <w:t> </w:t>
            </w:r>
          </w:p>
        </w:tc>
        <w:tc>
          <w:tcPr>
            <w:tcW w:w="96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w:t>
            </w:r>
          </w:p>
        </w:tc>
        <w:tc>
          <w:tcPr>
            <w:tcW w:w="9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Inputs are based upon quoted prices for similar instruments in active markets, quoted prices for identical or similar instruments in markets that are not active, and model-based valuation techniques (e.g. Black-Scholes Option-Pricing model) for which all significant inputs are observable in the market or can be corroborated by observable market data for substantially the full term of the assets or liabilities. Where applicable, these models project future cash flows and discount the future amounts to a present value using market-based observable inputs; and</w:t>
            </w:r>
          </w:p>
        </w:tc>
      </w:tr>
      <w:tr>
        <w:trPr/>
        <w:tc>
          <w:tcPr>
            <w:tcW w:w="60"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both"/>
              <w:rPr>
                <w:caps w:val="false"/>
                <w:smallCaps w:val="false"/>
              </w:rPr>
            </w:pPr>
            <w:r>
              <w:rPr>
                <w:caps w:val="false"/>
                <w:smallCaps w:val="false"/>
              </w:rPr>
              <w:t> </w:t>
            </w:r>
          </w:p>
        </w:tc>
        <w:tc>
          <w:tcPr>
            <w:tcW w:w="96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w:t>
            </w:r>
          </w:p>
        </w:tc>
        <w:tc>
          <w:tcPr>
            <w:tcW w:w="9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Inputs are generally unobservable and typically reflect management’s estimates of assumptions that market participants would use in pricing the asset or liability. The fair values are therefore determined using model-based techniques, including option pricing models and discounted cash flow models.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 of our financial instruments: cash and cash equivalents, accounts receivable, amount due from director, accounts payable and accrued liabilities are approximated at their fair values because of the short-term nature of these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estimates are made at a specific point in time based on relevant market information about the financial instrument. These estimates are subjective in nature and involve uncertainties and matters of significant judgment and, therefore, cannot be determined with precision. Changes in assumptions could significantly affect the estimates.</w:t>
      </w:r>
    </w:p>
    <w:p>
      <w:pPr>
        <w:pStyle w:val="TextBody"/>
        <w:bidi w:val="0"/>
        <w:spacing w:before="0" w:after="0"/>
        <w:ind w:left="0" w:right="0" w:hanging="0"/>
        <w:jc w:val="both"/>
        <w:rPr>
          <w:caps w:val="false"/>
          <w:smallCaps w:val="false"/>
        </w:rPr>
      </w:pPr>
      <w:bookmarkStart w:id="409" w:name="xdx_85F_z4LHGeBFuaEh"/>
      <w:bookmarkEnd w:id="40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10" w:name="xdx_803_eus-gaap--RevenueFromContractWit"/>
      <w:bookmarkEnd w:id="410"/>
      <w:r>
        <w:rPr>
          <w:rFonts w:ascii="Times New Roman;Times;Serif" w:hAnsi="Times New Roman;Times;Serif"/>
          <w:b/>
          <w:i w:val="false"/>
          <w:caps w:val="false"/>
          <w:smallCaps w:val="false"/>
          <w:sz w:val="20"/>
        </w:rPr>
        <w:t xml:space="preserve">Note 3 – </w:t>
      </w:r>
      <w:bookmarkStart w:id="411" w:name="xdx_823_zkTqmK0dUbY7"/>
      <w:bookmarkEnd w:id="411"/>
      <w:r>
        <w:rPr>
          <w:rFonts w:ascii="Times New Roman;Times;Serif" w:hAnsi="Times New Roman;Times;Serif"/>
          <w:b/>
          <w:i w:val="false"/>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412" w:name="xdx_898_ecustom--ScheduleOfRevenueRecogn"/>
      <w:bookmarkEnd w:id="412"/>
      <w:r>
        <w:rPr>
          <w:caps w:val="false"/>
          <w:smallCaps w:val="false"/>
        </w:rPr>
        <w:t> </w:t>
      </w:r>
      <w:bookmarkStart w:id="413" w:name="xdx_8B8_z5RnYfrsy2Dl"/>
      <w:bookmarkEnd w:id="413"/>
      <w:r>
        <w:rPr>
          <w:rFonts w:ascii="Times New Roman;Times;Serif" w:hAnsi="Times New Roman;Times;Serif"/>
          <w:b w:val="false"/>
          <w:i w:val="false"/>
          <w:caps w:val="false"/>
          <w:smallCaps w:val="false"/>
          <w:sz w:val="20"/>
        </w:rPr>
        <w:t>Schedule of Revenue Recognition Disaggregated by Timing</w:t>
      </w:r>
    </w:p>
    <w:tbl>
      <w:tblPr>
        <w:tblW w:w="7325" w:type="dxa"/>
        <w:jc w:val="left"/>
        <w:tblInd w:w="0" w:type="dxa"/>
        <w:tblLayout w:type="fixed"/>
        <w:tblCellMar>
          <w:top w:w="0" w:type="dxa"/>
          <w:left w:w="0" w:type="dxa"/>
          <w:bottom w:w="0" w:type="dxa"/>
          <w:right w:w="0" w:type="dxa"/>
        </w:tblCellMar>
      </w:tblPr>
      <w:tblGrid>
        <w:gridCol w:w="4370"/>
        <w:gridCol w:w="60"/>
        <w:gridCol w:w="116"/>
        <w:gridCol w:w="1178"/>
        <w:gridCol w:w="116"/>
        <w:gridCol w:w="116"/>
        <w:gridCol w:w="116"/>
        <w:gridCol w:w="1178"/>
        <w:gridCol w:w="75"/>
      </w:tblGrid>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14" w:name="xdx_494_20250101__20250630_zmoAh4ysqH"/>
            <w:bookmarkEnd w:id="414"/>
          </w:p>
        </w:tc>
        <w:tc>
          <w:tcPr>
            <w:tcW w:w="12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bookmarkStart w:id="415" w:name="xdx_499_20260101__20260630_z8zkc1hGOHHe"/>
            <w:bookmarkEnd w:id="415"/>
          </w:p>
        </w:tc>
        <w:tc>
          <w:tcPr>
            <w:tcW w:w="12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75"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S$’000</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S$’000</w:t>
            </w:r>
          </w:p>
        </w:tc>
        <w:tc>
          <w:tcPr>
            <w:tcW w:w="75"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 xml:space="preserve">Revenue recognition at a single point in time: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16" w:name="xdx_40E_eus-gaap--RevenueFromContractWit"/>
            <w:bookmarkEnd w:id="416"/>
          </w:p>
        </w:tc>
      </w:tr>
      <w:tr>
        <w:trPr/>
        <w:tc>
          <w:tcPr>
            <w:tcW w:w="4370" w:type="dxa"/>
            <w:tcBorders/>
            <w:shd w:fill="FFFFFF" w:val="clear"/>
            <w:vAlign w:val="center"/>
          </w:tcPr>
          <w:p>
            <w:pPr>
              <w:pStyle w:val="TableContents"/>
              <w:bidi w:val="0"/>
              <w:spacing w:before="0" w:after="283"/>
              <w:jc w:val="left"/>
              <w:rPr/>
            </w:pPr>
            <w:r>
              <w:rPr/>
              <w:t xml:space="preserve">Sales of merchandise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4</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4</w:t>
            </w:r>
          </w:p>
        </w:tc>
        <w:tc>
          <w:tcPr>
            <w:tcW w:w="75"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 xml:space="preserve">Revenue recognition over time: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417" w:name="xdx_402_eus-gaap--RevenueFromContractWit"/>
            <w:bookmarkEnd w:id="417"/>
          </w:p>
        </w:tc>
      </w:tr>
      <w:tr>
        <w:trPr/>
        <w:tc>
          <w:tcPr>
            <w:tcW w:w="4370" w:type="dxa"/>
            <w:tcBorders/>
            <w:shd w:fill="CCEEFF" w:val="clear"/>
            <w:vAlign w:val="center"/>
          </w:tcPr>
          <w:p>
            <w:pPr>
              <w:pStyle w:val="TableContents"/>
              <w:bidi w:val="0"/>
              <w:spacing w:before="0" w:after="283"/>
              <w:jc w:val="left"/>
              <w:rPr/>
            </w:pPr>
            <w:r>
              <w:rPr/>
              <w:t xml:space="preserve">Swim fees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2,158</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2,038</w:t>
            </w:r>
          </w:p>
        </w:tc>
        <w:tc>
          <w:tcPr>
            <w:tcW w:w="75" w:type="dxa"/>
            <w:tcBorders/>
            <w:shd w:fill="CCEEFF" w:val="clear"/>
            <w:vAlign w:val="center"/>
          </w:tcPr>
          <w:p>
            <w:pPr>
              <w:pStyle w:val="TableContents"/>
              <w:bidi w:val="0"/>
              <w:spacing w:before="0" w:after="283"/>
              <w:jc w:val="left"/>
              <w:rPr/>
            </w:pPr>
            <w:r>
              <w:rPr/>
              <w:t> </w:t>
            </w:r>
            <w:bookmarkStart w:id="418" w:name="xdx_408_eus-gaap--RevenueFromContractWit"/>
            <w:bookmarkEnd w:id="418"/>
          </w:p>
        </w:tc>
      </w:tr>
      <w:tr>
        <w:trPr/>
        <w:tc>
          <w:tcPr>
            <w:tcW w:w="4370" w:type="dxa"/>
            <w:tcBorders/>
            <w:shd w:fill="FFFFFF" w:val="clear"/>
            <w:vAlign w:val="center"/>
          </w:tcPr>
          <w:p>
            <w:pPr>
              <w:pStyle w:val="TableContents"/>
              <w:bidi w:val="0"/>
              <w:spacing w:before="0" w:after="283"/>
              <w:jc w:val="left"/>
              <w:rPr/>
            </w:pPr>
            <w:r>
              <w:rPr/>
              <w:t>Pickleball</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pPr>
            <w:r>
              <w:rPr/>
              <w:t>3</w:t>
            </w:r>
          </w:p>
        </w:tc>
        <w:tc>
          <w:tcPr>
            <w:tcW w:w="75" w:type="dxa"/>
            <w:tcBorders/>
            <w:shd w:fill="FFFFFF" w:val="clear"/>
            <w:vAlign w:val="center"/>
          </w:tcPr>
          <w:p>
            <w:pPr>
              <w:pStyle w:val="TableContents"/>
              <w:bidi w:val="0"/>
              <w:spacing w:before="0" w:after="283"/>
              <w:jc w:val="left"/>
              <w:rPr/>
            </w:pPr>
            <w:r>
              <w:rPr/>
              <w:t> </w:t>
            </w:r>
            <w:bookmarkStart w:id="419" w:name="xdx_40A_eus-gaap--RevenueFromContractWit"/>
            <w:bookmarkEnd w:id="419"/>
          </w:p>
        </w:tc>
      </w:tr>
      <w:tr>
        <w:trPr/>
        <w:tc>
          <w:tcPr>
            <w:tcW w:w="43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Revenue recognition disaggregated by timing total</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78" w:type="dxa"/>
            <w:tcBorders>
              <w:bottom w:val="single" w:sz="8" w:space="0" w:color="000000"/>
            </w:tcBorders>
            <w:shd w:fill="CCEEFF" w:val="clear"/>
            <w:tcMar>
              <w:bottom w:w="28" w:type="dxa"/>
            </w:tcMar>
            <w:vAlign w:val="center"/>
          </w:tcPr>
          <w:p>
            <w:pPr>
              <w:pStyle w:val="TableContents"/>
              <w:bidi w:val="0"/>
              <w:spacing w:before="0" w:after="283"/>
              <w:jc w:val="right"/>
              <w:rPr/>
            </w:pPr>
            <w:r>
              <w:rPr/>
              <w:t>2,162</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78" w:type="dxa"/>
            <w:tcBorders>
              <w:bottom w:val="single" w:sz="8" w:space="0" w:color="000000"/>
            </w:tcBorders>
            <w:shd w:fill="CCEEFF" w:val="clear"/>
            <w:tcMar>
              <w:bottom w:w="28" w:type="dxa"/>
            </w:tcMar>
            <w:vAlign w:val="center"/>
          </w:tcPr>
          <w:p>
            <w:pPr>
              <w:pStyle w:val="TableContents"/>
              <w:bidi w:val="0"/>
              <w:spacing w:before="0" w:after="283"/>
              <w:jc w:val="right"/>
              <w:rPr/>
            </w:pPr>
            <w:r>
              <w:rPr/>
              <w:t>2,045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20" w:name="xdx_8A1_z8ZiGhFeKBZ9"/>
      <w:bookmarkEnd w:id="420"/>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1" w:name="xdx_80A_eus-gaap--LoansNotesTradeAndOthe"/>
      <w:bookmarkEnd w:id="421"/>
      <w:r>
        <w:rPr>
          <w:rFonts w:ascii="Times New Roman;Times;Serif" w:hAnsi="Times New Roman;Times;Serif"/>
          <w:b/>
          <w:i w:val="false"/>
          <w:caps w:val="false"/>
          <w:smallCaps w:val="false"/>
          <w:sz w:val="20"/>
        </w:rPr>
        <w:t xml:space="preserve">Note 4 - </w:t>
      </w:r>
      <w:bookmarkStart w:id="422" w:name="xdx_829_zVLX4hFYSDi8"/>
      <w:bookmarkEnd w:id="422"/>
      <w:r>
        <w:rPr>
          <w:rFonts w:ascii="Times New Roman;Times;Serif" w:hAnsi="Times New Roman;Times;Serif"/>
          <w:b/>
          <w:i w:val="false"/>
          <w:caps w:val="false"/>
          <w:smallCaps w:val="false"/>
          <w:sz w:val="20"/>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June 30, 2026, the Company’s accounts receivable amounted to S$</w:t>
      </w:r>
      <w:bookmarkStart w:id="423" w:name="xdx_90A_eus-gaap--AccountsReceivableNetC"/>
      <w:bookmarkEnd w:id="423"/>
      <w:r>
        <w:rPr>
          <w:rFonts w:ascii="Times New Roman;Times;Serif" w:hAnsi="Times New Roman;Times;Serif"/>
          <w:b w:val="false"/>
          <w:i w:val="false"/>
          <w:caps w:val="false"/>
          <w:smallCaps w:val="false"/>
          <w:sz w:val="20"/>
        </w:rPr>
        <w:t>nil and S$</w:t>
      </w:r>
      <w:bookmarkStart w:id="424" w:name="xdx_90D_eus-gaap--AccountsReceivableNetC"/>
      <w:bookmarkEnd w:id="424"/>
      <w:r>
        <w:rPr>
          <w:rFonts w:ascii="Times New Roman;Times;Serif" w:hAnsi="Times New Roman;Times;Serif"/>
          <w:b w:val="false"/>
          <w:i w:val="false"/>
          <w:caps w:val="false"/>
          <w:smallCaps w:val="false"/>
          <w:sz w:val="20"/>
        </w:rPr>
        <w:t>24,000,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2025 and financial six months ended June 30, 2026, the Company has </w:t>
      </w:r>
      <w:bookmarkStart w:id="425" w:name="xdx_90B_eus-gaap--ProvisionForDoubtfulAc"/>
      <w:bookmarkStart w:id="426" w:name="xdx_905_eus-gaap--ProvisionForDoubtfulAc"/>
      <w:bookmarkEnd w:id="425"/>
      <w:bookmarkEnd w:id="426"/>
      <w:r>
        <w:rPr>
          <w:rFonts w:ascii="Times New Roman;Times;Serif" w:hAnsi="Times New Roman;Times;Serif"/>
          <w:b w:val="false"/>
          <w:i w:val="false"/>
          <w:caps w:val="false"/>
          <w:smallCaps w:val="false"/>
          <w:sz w:val="20"/>
        </w:rPr>
        <w:t>not made the allowance for doubtful accounts and charged to the unaudited interim consolidated statements of operations. The Company has not experienced any significant bad debt write-offs of accounts receivable in the past.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conducts its business with creditworthy third parties. The Company determines, on a continuing basis, the probable losses and an allowance for doubtful accounts, based on several factors including internal risk ratings, customer credit quality, payment history, historical bad debt/write-off experience and forecasted economic and market conditions. Accounts receivable is written off after exhaustive collection efforts occur and the receivable is deemed uncollectible. In addition, receivable balances are monitored on an ongoing basis and its exposure to bad debts is not significant.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7" w:name="xdx_802_ecustom--DepositsPrepaymentsAndO"/>
      <w:bookmarkEnd w:id="427"/>
      <w:r>
        <w:rPr>
          <w:rFonts w:ascii="Times New Roman;Times;Serif" w:hAnsi="Times New Roman;Times;Serif"/>
          <w:b/>
          <w:i w:val="false"/>
          <w:caps w:val="false"/>
          <w:smallCaps w:val="false"/>
          <w:sz w:val="20"/>
        </w:rPr>
        <w:t xml:space="preserve">Note 5 - </w:t>
      </w:r>
      <w:bookmarkStart w:id="428" w:name="xdx_821_z3mRSh9GkUH1"/>
      <w:bookmarkEnd w:id="428"/>
      <w:r>
        <w:rPr>
          <w:rFonts w:ascii="Times New Roman;Times;Serif" w:hAnsi="Times New Roman;Times;Serif"/>
          <w:b/>
          <w:i w:val="false"/>
          <w:caps w:val="false"/>
          <w:smallCaps w:val="false"/>
          <w:sz w:val="20"/>
        </w:rPr>
        <w:t>Deposits, prepayments and other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29" w:name="xdx_89D_eus-gaap--ScheduleOfOtherCurrent"/>
      <w:bookmarkEnd w:id="429"/>
      <w:r>
        <w:rPr>
          <w:rFonts w:ascii="Times New Roman;Times;Serif" w:hAnsi="Times New Roman;Times;Serif"/>
          <w:b w:val="false"/>
          <w:i w:val="false"/>
          <w:caps w:val="false"/>
          <w:smallCaps w:val="false"/>
          <w:sz w:val="20"/>
        </w:rPr>
        <w:t>At December 31, 2025 and June 30, 2026, deposits, prepayments and other receivables consisted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bookmarkStart w:id="430" w:name="xdx_8B7_zCmBNCUCoTd8"/>
      <w:bookmarkEnd w:id="430"/>
      <w:r>
        <w:rPr>
          <w:rFonts w:ascii="Times New Roman;Times;Serif" w:hAnsi="Times New Roman;Times;Serif"/>
          <w:b w:val="false"/>
          <w:i w:val="false"/>
          <w:caps w:val="false"/>
          <w:smallCaps w:val="false"/>
          <w:sz w:val="20"/>
        </w:rPr>
        <w:t>Schedule of deposits, prepayments and other receivables</w:t>
      </w:r>
    </w:p>
    <w:tbl>
      <w:tblPr>
        <w:tblW w:w="6598" w:type="dxa"/>
        <w:jc w:val="left"/>
        <w:tblInd w:w="0" w:type="dxa"/>
        <w:tblLayout w:type="fixed"/>
        <w:tblCellMar>
          <w:top w:w="0" w:type="dxa"/>
          <w:left w:w="0" w:type="dxa"/>
          <w:bottom w:w="0" w:type="dxa"/>
          <w:right w:w="0" w:type="dxa"/>
        </w:tblCellMar>
      </w:tblPr>
      <w:tblGrid>
        <w:gridCol w:w="4055"/>
        <w:gridCol w:w="60"/>
        <w:gridCol w:w="186"/>
        <w:gridCol w:w="1228"/>
        <w:gridCol w:w="60"/>
        <w:gridCol w:w="60"/>
        <w:gridCol w:w="78"/>
        <w:gridCol w:w="796"/>
        <w:gridCol w:w="75"/>
      </w:tblGrid>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1" w:name="xdx_498_20251231_zbihvIW4cVYg"/>
            <w:bookmarkEnd w:id="431"/>
          </w:p>
        </w:tc>
        <w:tc>
          <w:tcPr>
            <w:tcW w:w="1414"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2" w:name="xdx_49A_20260630_zApq4QTUTwW7"/>
            <w:bookmarkEnd w:id="432"/>
          </w:p>
        </w:tc>
        <w:tc>
          <w:tcPr>
            <w:tcW w:w="874" w:type="dxa"/>
            <w:gridSpan w:val="2"/>
            <w:tcBorders/>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S$’000</w:t>
            </w:r>
          </w:p>
        </w:tc>
        <w:tc>
          <w:tcPr>
            <w:tcW w:w="75" w:type="dxa"/>
            <w:tcBorders/>
            <w:shd w:fill="FFFFFF" w:val="clear"/>
            <w:vAlign w:val="center"/>
          </w:tcPr>
          <w:p>
            <w:pPr>
              <w:pStyle w:val="TableContents"/>
              <w:bidi w:val="0"/>
              <w:spacing w:before="0" w:after="283"/>
              <w:jc w:val="left"/>
              <w:rPr/>
            </w:pPr>
            <w:r>
              <w:rPr/>
              <w:t> </w:t>
            </w:r>
            <w:bookmarkStart w:id="433" w:name="xdx_408_eus-gaap--DepositsAssetsCurrent_"/>
            <w:bookmarkEnd w:id="433"/>
          </w:p>
        </w:tc>
      </w:tr>
      <w:tr>
        <w:trPr/>
        <w:tc>
          <w:tcPr>
            <w:tcW w:w="4055" w:type="dxa"/>
            <w:tcBorders/>
            <w:shd w:fill="CCEEFF" w:val="clear"/>
            <w:vAlign w:val="center"/>
          </w:tcPr>
          <w:p>
            <w:pPr>
              <w:pStyle w:val="TableContents"/>
              <w:bidi w:val="0"/>
              <w:spacing w:before="0" w:after="283"/>
              <w:jc w:val="left"/>
              <w:rPr/>
            </w:pPr>
            <w:r>
              <w:rPr/>
              <w:t>Deposits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11</w:t>
            </w:r>
          </w:p>
        </w:tc>
        <w:tc>
          <w:tcPr>
            <w:tcW w:w="75" w:type="dxa"/>
            <w:tcBorders/>
            <w:shd w:fill="CCEEFF" w:val="clear"/>
            <w:vAlign w:val="center"/>
          </w:tcPr>
          <w:p>
            <w:pPr>
              <w:pStyle w:val="TableContents"/>
              <w:bidi w:val="0"/>
              <w:spacing w:before="0" w:after="283"/>
              <w:jc w:val="left"/>
              <w:rPr/>
            </w:pPr>
            <w:r>
              <w:rPr/>
              <w:t> </w:t>
            </w:r>
            <w:bookmarkStart w:id="434" w:name="xdx_404_eus-gaap--PrepaidExpenseCurrent_"/>
            <w:bookmarkEnd w:id="434"/>
          </w:p>
        </w:tc>
      </w:tr>
      <w:tr>
        <w:trPr/>
        <w:tc>
          <w:tcPr>
            <w:tcW w:w="4055" w:type="dxa"/>
            <w:tcBorders/>
            <w:shd w:fill="FFFFFF" w:val="clear"/>
            <w:vAlign w:val="center"/>
          </w:tcPr>
          <w:p>
            <w:pPr>
              <w:pStyle w:val="TableContents"/>
              <w:bidi w:val="0"/>
              <w:spacing w:before="0" w:after="283"/>
              <w:jc w:val="left"/>
              <w:rPr/>
            </w:pPr>
            <w:r>
              <w:rPr/>
              <w:t>Prepayments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130</w:t>
            </w:r>
          </w:p>
        </w:tc>
        <w:tc>
          <w:tcPr>
            <w:tcW w:w="75" w:type="dxa"/>
            <w:tcBorders/>
            <w:shd w:fill="FFFFFF" w:val="clear"/>
            <w:vAlign w:val="center"/>
          </w:tcPr>
          <w:p>
            <w:pPr>
              <w:pStyle w:val="TableContents"/>
              <w:bidi w:val="0"/>
              <w:spacing w:before="0" w:after="283"/>
              <w:jc w:val="left"/>
              <w:rPr/>
            </w:pPr>
            <w:r>
              <w:rPr/>
              <w:t> </w:t>
            </w:r>
            <w:bookmarkStart w:id="435" w:name="xdx_406_eus-gaap--OtherReceivablesNetCur"/>
            <w:bookmarkEnd w:id="435"/>
          </w:p>
        </w:tc>
      </w:tr>
      <w:tr>
        <w:trPr/>
        <w:tc>
          <w:tcPr>
            <w:tcW w:w="4055"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28" w:type="dxa"/>
            <w:tcBorders>
              <w:bottom w:val="single" w:sz="8" w:space="0" w:color="000000"/>
            </w:tcBorders>
            <w:shd w:fill="CCEEFF" w:val="clear"/>
            <w:tcMar>
              <w:bottom w:w="28" w:type="dxa"/>
            </w:tcMar>
            <w:vAlign w:val="center"/>
          </w:tcPr>
          <w:p>
            <w:pPr>
              <w:pStyle w:val="TableContents"/>
              <w:bidi w:val="0"/>
              <w:spacing w:before="0" w:after="283"/>
              <w:jc w:val="right"/>
              <w:rPr/>
            </w:pPr>
            <w:r>
              <w:rPr/>
              <w:t>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96" w:type="dxa"/>
            <w:tcBorders>
              <w:bottom w:val="single" w:sz="8" w:space="0" w:color="000000"/>
            </w:tcBorders>
            <w:shd w:fill="CCEEFF" w:val="clear"/>
            <w:tcMar>
              <w:bottom w:w="28" w:type="dxa"/>
            </w:tcMar>
            <w:vAlign w:val="center"/>
          </w:tcPr>
          <w:p>
            <w:pPr>
              <w:pStyle w:val="TableContents"/>
              <w:bidi w:val="0"/>
              <w:spacing w:before="0" w:after="283"/>
              <w:jc w:val="right"/>
              <w:rPr/>
            </w:pPr>
            <w:r>
              <w:rPr/>
              <w:t>43</w:t>
            </w:r>
          </w:p>
        </w:tc>
        <w:tc>
          <w:tcPr>
            <w:tcW w:w="75" w:type="dxa"/>
            <w:tcBorders/>
            <w:shd w:fill="CCEEFF" w:val="clear"/>
            <w:vAlign w:val="center"/>
          </w:tcPr>
          <w:p>
            <w:pPr>
              <w:pStyle w:val="TableContents"/>
              <w:bidi w:val="0"/>
              <w:spacing w:before="0" w:after="283"/>
              <w:jc w:val="left"/>
              <w:rPr/>
            </w:pPr>
            <w:r>
              <w:rPr/>
              <w:t> </w:t>
            </w:r>
            <w:bookmarkStart w:id="436" w:name="xdx_405_eus-gaap--OtherAssetsCurrent_iTI"/>
            <w:bookmarkEnd w:id="436"/>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Deposits, prepayments and other receivables total</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228" w:type="dxa"/>
            <w:tcBorders>
              <w:bottom w:val="single" w:sz="8" w:space="0" w:color="000000"/>
            </w:tcBorders>
            <w:shd w:fill="FFFFFF" w:val="clear"/>
            <w:tcMar>
              <w:bottom w:w="28" w:type="dxa"/>
            </w:tcMar>
            <w:vAlign w:val="center"/>
          </w:tcPr>
          <w:p>
            <w:pPr>
              <w:pStyle w:val="TableContents"/>
              <w:bidi w:val="0"/>
              <w:spacing w:before="0" w:after="283"/>
              <w:jc w:val="right"/>
              <w:rPr/>
            </w:pPr>
            <w:r>
              <w:rPr/>
              <w:t>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96" w:type="dxa"/>
            <w:tcBorders>
              <w:bottom w:val="single" w:sz="8" w:space="0" w:color="000000"/>
            </w:tcBorders>
            <w:shd w:fill="FFFFFF" w:val="clear"/>
            <w:tcMar>
              <w:bottom w:w="28" w:type="dxa"/>
            </w:tcMar>
            <w:vAlign w:val="center"/>
          </w:tcPr>
          <w:p>
            <w:pPr>
              <w:pStyle w:val="TableContents"/>
              <w:bidi w:val="0"/>
              <w:spacing w:before="0" w:after="283"/>
              <w:jc w:val="right"/>
              <w:rPr/>
            </w:pPr>
            <w:r>
              <w:rPr/>
              <w:t>184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37" w:name="xdx_8A3_zG27sExWzAJg"/>
      <w:bookmarkEnd w:id="43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are costs incurred directly related to the proposed Public Offering and will be charged against the proceeds received upon completion of the offering, should the offering be unsuccessful, these deferred costs will be charged to the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38" w:name="xdx_806_eus-gaap--PropertyPlantAndEquipm"/>
      <w:bookmarkEnd w:id="438"/>
      <w:r>
        <w:rPr>
          <w:rFonts w:ascii="Times New Roman;Times;Serif" w:hAnsi="Times New Roman;Times;Serif"/>
          <w:b/>
          <w:i w:val="false"/>
          <w:caps w:val="false"/>
          <w:smallCaps w:val="false"/>
          <w:sz w:val="20"/>
        </w:rPr>
        <w:t xml:space="preserve">Note 6 - </w:t>
      </w:r>
      <w:bookmarkStart w:id="439" w:name="xdx_824_zy9UHhff4gij"/>
      <w:bookmarkEnd w:id="439"/>
      <w:r>
        <w:rPr>
          <w:rFonts w:ascii="Times New Roman;Times;Serif" w:hAnsi="Times New Roman;Times;Serif"/>
          <w:b/>
          <w:i w:val="false"/>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40" w:name="xdx_897_eus-gaap--PropertyPlantAndEquipm"/>
      <w:bookmarkEnd w:id="440"/>
      <w:r>
        <w:rPr>
          <w:rFonts w:ascii="Times New Roman;Times;Serif" w:hAnsi="Times New Roman;Times;Serif"/>
          <w:b w:val="false"/>
          <w:i w:val="false"/>
          <w:caps w:val="false"/>
          <w:smallCaps w:val="false"/>
          <w:sz w:val="20"/>
        </w:rPr>
        <w:t>At December 31, 2025 and June 30, 2026, property and equipment consisted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bookmarkStart w:id="441" w:name="xdx_8B2_zhHqUmobnUNf"/>
      <w:bookmarkEnd w:id="441"/>
      <w:r>
        <w:rPr>
          <w:rFonts w:ascii="Times New Roman;Times;Serif" w:hAnsi="Times New Roman;Times;Serif"/>
          <w:b w:val="false"/>
          <w:i w:val="false"/>
          <w:caps w:val="false"/>
          <w:smallCaps w:val="false"/>
          <w:sz w:val="20"/>
        </w:rPr>
        <w:t>schedule of property and equipment, net</w:t>
      </w:r>
    </w:p>
    <w:tbl>
      <w:tblPr>
        <w:tblW w:w="5408" w:type="dxa"/>
        <w:jc w:val="left"/>
        <w:tblInd w:w="0" w:type="dxa"/>
        <w:tblLayout w:type="fixed"/>
        <w:tblCellMar>
          <w:top w:w="0" w:type="dxa"/>
          <w:left w:w="0" w:type="dxa"/>
          <w:bottom w:w="0" w:type="dxa"/>
          <w:right w:w="0" w:type="dxa"/>
        </w:tblCellMar>
      </w:tblPr>
      <w:tblGrid>
        <w:gridCol w:w="2795"/>
        <w:gridCol w:w="60"/>
        <w:gridCol w:w="163"/>
        <w:gridCol w:w="1251"/>
        <w:gridCol w:w="95"/>
        <w:gridCol w:w="60"/>
        <w:gridCol w:w="101"/>
        <w:gridCol w:w="773"/>
        <w:gridCol w:w="110"/>
      </w:tblGrid>
      <w:tr>
        <w:trPr/>
        <w:tc>
          <w:tcPr>
            <w:tcW w:w="27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42" w:name="xdx_495_20251231_zcoTE0M7ndGf"/>
            <w:bookmarkEnd w:id="442"/>
          </w:p>
        </w:tc>
        <w:tc>
          <w:tcPr>
            <w:tcW w:w="1414" w:type="dxa"/>
            <w:gridSpan w:val="2"/>
            <w:tcBorders/>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43" w:name="xdx_498_20260630_zY1eUcFMGjD4"/>
            <w:bookmarkEnd w:id="443"/>
          </w:p>
        </w:tc>
        <w:tc>
          <w:tcPr>
            <w:tcW w:w="874" w:type="dxa"/>
            <w:gridSpan w:val="2"/>
            <w:tcBorders/>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S$’000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S$’000</w:t>
            </w:r>
          </w:p>
        </w:tc>
        <w:tc>
          <w:tcPr>
            <w:tcW w:w="110" w:type="dxa"/>
            <w:tcBorders/>
            <w:vAlign w:val="center"/>
          </w:tcPr>
          <w:p>
            <w:pPr>
              <w:pStyle w:val="TableContents"/>
              <w:bidi w:val="0"/>
              <w:spacing w:before="0" w:after="283"/>
              <w:jc w:val="left"/>
              <w:rPr/>
            </w:pPr>
            <w:r>
              <w:rPr/>
              <w:t> </w:t>
            </w:r>
            <w:bookmarkStart w:id="444" w:name="xdx_402_eus-gaap--PropertyPlantAndEquipm"/>
            <w:bookmarkEnd w:id="444"/>
          </w:p>
        </w:tc>
      </w:tr>
      <w:tr>
        <w:trPr/>
        <w:tc>
          <w:tcPr>
            <w:tcW w:w="2795" w:type="dxa"/>
            <w:tcBorders/>
            <w:shd w:fill="CCEEFF" w:val="clear"/>
            <w:vAlign w:val="center"/>
          </w:tcPr>
          <w:p>
            <w:pPr>
              <w:pStyle w:val="TableContents"/>
              <w:bidi w:val="0"/>
              <w:spacing w:before="0" w:after="283"/>
              <w:jc w:val="both"/>
              <w:rPr/>
            </w:pPr>
            <w:r>
              <w:rPr/>
              <w:t>Computer and software</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60</w:t>
            </w:r>
          </w:p>
        </w:tc>
        <w:tc>
          <w:tcPr>
            <w:tcW w:w="110" w:type="dxa"/>
            <w:tcBorders/>
            <w:shd w:fill="CCEEFF" w:val="clear"/>
            <w:vAlign w:val="center"/>
          </w:tcPr>
          <w:p>
            <w:pPr>
              <w:pStyle w:val="TableContents"/>
              <w:bidi w:val="0"/>
              <w:spacing w:before="0" w:after="283"/>
              <w:jc w:val="left"/>
              <w:rPr/>
            </w:pPr>
            <w:r>
              <w:rPr/>
              <w:t> </w:t>
            </w:r>
            <w:bookmarkStart w:id="445" w:name="xdx_40A_eus-gaap--PropertyPlantAndEquipm"/>
            <w:bookmarkEnd w:id="445"/>
          </w:p>
        </w:tc>
      </w:tr>
      <w:tr>
        <w:trPr/>
        <w:tc>
          <w:tcPr>
            <w:tcW w:w="2795" w:type="dxa"/>
            <w:tcBorders/>
            <w:shd w:fill="FFFFFF" w:val="clear"/>
            <w:vAlign w:val="center"/>
          </w:tcPr>
          <w:p>
            <w:pPr>
              <w:pStyle w:val="TableContents"/>
              <w:bidi w:val="0"/>
              <w:spacing w:before="0" w:after="283"/>
              <w:jc w:val="both"/>
              <w:rPr/>
            </w:pPr>
            <w:r>
              <w:rPr/>
              <w:t>Furniture and fittings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pPr>
            <w:r>
              <w:rPr/>
              <w:t>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11</w:t>
            </w:r>
          </w:p>
        </w:tc>
        <w:tc>
          <w:tcPr>
            <w:tcW w:w="110" w:type="dxa"/>
            <w:tcBorders/>
            <w:shd w:fill="FFFFFF" w:val="clear"/>
            <w:vAlign w:val="center"/>
          </w:tcPr>
          <w:p>
            <w:pPr>
              <w:pStyle w:val="TableContents"/>
              <w:bidi w:val="0"/>
              <w:spacing w:before="0" w:after="283"/>
              <w:jc w:val="left"/>
              <w:rPr/>
            </w:pPr>
            <w:r>
              <w:rPr/>
              <w:t> </w:t>
            </w:r>
            <w:bookmarkStart w:id="446" w:name="xdx_409_eus-gaap--PropertyPlantAndEquipm"/>
            <w:bookmarkEnd w:id="446"/>
          </w:p>
        </w:tc>
      </w:tr>
      <w:tr>
        <w:trPr/>
        <w:tc>
          <w:tcPr>
            <w:tcW w:w="2795" w:type="dxa"/>
            <w:tcBorders/>
            <w:shd w:fill="CCEEFF" w:val="clear"/>
            <w:vAlign w:val="center"/>
          </w:tcPr>
          <w:p>
            <w:pPr>
              <w:pStyle w:val="TableContents"/>
              <w:bidi w:val="0"/>
              <w:spacing w:before="0" w:after="283"/>
              <w:jc w:val="both"/>
              <w:rPr/>
            </w:pPr>
            <w:r>
              <w:rPr/>
              <w:t>Leasehold industrial property</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535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535</w:t>
            </w:r>
          </w:p>
        </w:tc>
        <w:tc>
          <w:tcPr>
            <w:tcW w:w="110" w:type="dxa"/>
            <w:tcBorders/>
            <w:shd w:fill="CCEEFF" w:val="clear"/>
            <w:vAlign w:val="center"/>
          </w:tcPr>
          <w:p>
            <w:pPr>
              <w:pStyle w:val="TableContents"/>
              <w:bidi w:val="0"/>
              <w:spacing w:before="0" w:after="283"/>
              <w:jc w:val="left"/>
              <w:rPr/>
            </w:pPr>
            <w:r>
              <w:rPr/>
              <w:t> </w:t>
            </w:r>
            <w:bookmarkStart w:id="447" w:name="xdx_409_eus-gaap--PropertyPlantAndEquipm"/>
            <w:bookmarkEnd w:id="447"/>
          </w:p>
        </w:tc>
      </w:tr>
      <w:tr>
        <w:trPr/>
        <w:tc>
          <w:tcPr>
            <w:tcW w:w="2795" w:type="dxa"/>
            <w:tcBorders/>
            <w:shd w:fill="FFFFFF" w:val="clear"/>
            <w:vAlign w:val="center"/>
          </w:tcPr>
          <w:p>
            <w:pPr>
              <w:pStyle w:val="TableContents"/>
              <w:bidi w:val="0"/>
              <w:spacing w:before="0" w:after="283"/>
              <w:jc w:val="both"/>
              <w:rPr/>
            </w:pPr>
            <w:r>
              <w:rPr/>
              <w:t>Renovations</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1" w:type="dxa"/>
            <w:tcBorders>
              <w:bottom w:val="single" w:sz="8" w:space="0" w:color="000000"/>
            </w:tcBorders>
            <w:shd w:fill="FFFFFF" w:val="clear"/>
            <w:tcMar>
              <w:bottom w:w="28" w:type="dxa"/>
            </w:tcMar>
            <w:vAlign w:val="center"/>
          </w:tcPr>
          <w:p>
            <w:pPr>
              <w:pStyle w:val="TableContents"/>
              <w:bidi w:val="0"/>
              <w:spacing w:before="0" w:after="283"/>
              <w:jc w:val="right"/>
              <w:rPr/>
            </w:pPr>
            <w:r>
              <w:rPr/>
              <w:t>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pPr>
            <w:r>
              <w:rPr/>
              <w:t>68</w:t>
            </w:r>
          </w:p>
        </w:tc>
        <w:tc>
          <w:tcPr>
            <w:tcW w:w="110" w:type="dxa"/>
            <w:tcBorders/>
            <w:shd w:fill="FFFFFF" w:val="clear"/>
            <w:vAlign w:val="center"/>
          </w:tcPr>
          <w:p>
            <w:pPr>
              <w:pStyle w:val="TableContents"/>
              <w:bidi w:val="0"/>
              <w:spacing w:before="0" w:after="283"/>
              <w:jc w:val="left"/>
              <w:rPr/>
            </w:pPr>
            <w:r>
              <w:rPr/>
              <w:t> </w:t>
            </w:r>
            <w:bookmarkStart w:id="448" w:name="xdx_40C_eus-gaap--PropertyPlantAndEquipm"/>
            <w:bookmarkEnd w:id="448"/>
          </w:p>
        </w:tc>
      </w:tr>
      <w:tr>
        <w:trPr/>
        <w:tc>
          <w:tcPr>
            <w:tcW w:w="279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Property and equipment, gross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664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674</w:t>
            </w:r>
          </w:p>
        </w:tc>
        <w:tc>
          <w:tcPr>
            <w:tcW w:w="110" w:type="dxa"/>
            <w:tcBorders/>
            <w:shd w:fill="CCEEFF" w:val="clear"/>
            <w:vAlign w:val="center"/>
          </w:tcPr>
          <w:p>
            <w:pPr>
              <w:pStyle w:val="TableContents"/>
              <w:bidi w:val="0"/>
              <w:spacing w:before="0" w:after="283"/>
              <w:jc w:val="left"/>
              <w:rPr/>
            </w:pPr>
            <w:r>
              <w:rPr/>
              <w:t> </w:t>
            </w:r>
            <w:bookmarkStart w:id="449" w:name="xdx_402_eus-gaap--AccumulatedDepreciatio"/>
            <w:bookmarkEnd w:id="449"/>
          </w:p>
        </w:tc>
      </w:tr>
      <w:tr>
        <w:trPr/>
        <w:tc>
          <w:tcPr>
            <w:tcW w:w="2795" w:type="dxa"/>
            <w:tcBorders/>
            <w:shd w:fill="FFFFFF" w:val="clear"/>
            <w:vAlign w:val="center"/>
          </w:tcPr>
          <w:p>
            <w:pPr>
              <w:pStyle w:val="TableContents"/>
              <w:bidi w:val="0"/>
              <w:spacing w:before="0" w:after="283"/>
              <w:jc w:val="both"/>
              <w:rPr/>
            </w:pPr>
            <w:r>
              <w:rPr/>
              <w:t>Accumulated depreciation</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1" w:type="dxa"/>
            <w:tcBorders>
              <w:bottom w:val="single" w:sz="8" w:space="0" w:color="000000"/>
            </w:tcBorders>
            <w:shd w:fill="FFFFFF" w:val="clear"/>
            <w:tcMar>
              <w:bottom w:w="28" w:type="dxa"/>
            </w:tcMar>
            <w:vAlign w:val="center"/>
          </w:tcPr>
          <w:p>
            <w:pPr>
              <w:pStyle w:val="TableContents"/>
              <w:bidi w:val="0"/>
              <w:spacing w:before="0" w:after="283"/>
              <w:jc w:val="right"/>
              <w:rPr/>
            </w:pPr>
            <w:r>
              <w:rPr/>
              <w:t>(127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pPr>
            <w:r>
              <w:rPr/>
              <w:t>(147</w:t>
            </w:r>
          </w:p>
        </w:tc>
        <w:tc>
          <w:tcPr>
            <w:tcW w:w="110" w:type="dxa"/>
            <w:tcBorders/>
            <w:shd w:fill="FFFFFF" w:val="clear"/>
            <w:vAlign w:val="center"/>
          </w:tcPr>
          <w:p>
            <w:pPr>
              <w:pStyle w:val="TableContents"/>
              <w:bidi w:val="0"/>
              <w:spacing w:before="0" w:after="283"/>
              <w:jc w:val="left"/>
              <w:rPr/>
            </w:pPr>
            <w:r>
              <w:rPr/>
              <w:t>)</w:t>
            </w:r>
            <w:bookmarkStart w:id="450" w:name="xdx_407_eus-gaap--PropertyPlantAndEquipm"/>
            <w:bookmarkEnd w:id="450"/>
          </w:p>
        </w:tc>
      </w:tr>
      <w:tr>
        <w:trPr/>
        <w:tc>
          <w:tcPr>
            <w:tcW w:w="2795" w:type="dxa"/>
            <w:tcBorders/>
            <w:shd w:fill="CCEEFF" w:val="clear"/>
            <w:vAlign w:val="center"/>
          </w:tcPr>
          <w:p>
            <w:pPr>
              <w:pStyle w:val="TableContents"/>
              <w:bidi w:val="0"/>
              <w:spacing w:before="0" w:after="283"/>
              <w:jc w:val="both"/>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1" w:type="dxa"/>
            <w:tcBorders>
              <w:bottom w:val="single" w:sz="8" w:space="0" w:color="000000"/>
            </w:tcBorders>
            <w:shd w:fill="CCEEFF" w:val="clear"/>
            <w:tcMar>
              <w:bottom w:w="28" w:type="dxa"/>
            </w:tcMar>
            <w:vAlign w:val="center"/>
          </w:tcPr>
          <w:p>
            <w:pPr>
              <w:pStyle w:val="TableContents"/>
              <w:bidi w:val="0"/>
              <w:spacing w:before="0" w:after="283"/>
              <w:jc w:val="right"/>
              <w:rPr/>
            </w:pPr>
            <w:r>
              <w:rPr/>
              <w:t>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pPr>
            <w:r>
              <w:rPr/>
              <w:t>527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51" w:name="xdx_8A1_z6OQRW487Pr7"/>
      <w:bookmarkEnd w:id="45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Industrial Property under Operating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owns a leasehold industrial property which is included and classified under property and equipment, as it is not held for sale or for investment purposes. Although the property is currently leased to third parties under operating lease arrangements, its classification as property and equipment is appropriate under U.S. GAAP because the property is not held for capital appreciation or investment income, and rental activities are not part of the Company’s principal operations. The carrying value of the leased industrial property as of December 31, 2025 and June 30, 2026 is approximately S$</w:t>
      </w:r>
      <w:bookmarkStart w:id="452" w:name="xdx_90C_eus-gaap--PropertyPlantAndEquipm"/>
      <w:bookmarkEnd w:id="452"/>
      <w:r>
        <w:rPr>
          <w:rFonts w:ascii="Times New Roman;Times;Serif" w:hAnsi="Times New Roman;Times;Serif"/>
          <w:b w:val="false"/>
          <w:i w:val="false"/>
          <w:caps w:val="false"/>
          <w:smallCaps w:val="false"/>
          <w:sz w:val="20"/>
        </w:rPr>
        <w:t>500,000 and S$</w:t>
      </w:r>
      <w:bookmarkStart w:id="453" w:name="xdx_904_eus-gaap--PropertyPlantAndEquipm"/>
      <w:bookmarkEnd w:id="453"/>
      <w:r>
        <w:rPr>
          <w:rFonts w:ascii="Times New Roman;Times;Serif" w:hAnsi="Times New Roman;Times;Serif"/>
          <w:b w:val="false"/>
          <w:i w:val="false"/>
          <w:caps w:val="false"/>
          <w:smallCaps w:val="false"/>
          <w:sz w:val="20"/>
        </w:rPr>
        <w:t>494,000.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Rental income recognized for the years ended June 30, 2025 and 2026 were S$</w:t>
      </w:r>
      <w:bookmarkStart w:id="454" w:name="xdx_907_eus-gaap--RentalIncomeNonoperati"/>
      <w:bookmarkEnd w:id="454"/>
      <w:r>
        <w:rPr>
          <w:rFonts w:ascii="Times New Roman;Times;Serif" w:hAnsi="Times New Roman;Times;Serif"/>
          <w:b w:val="false"/>
          <w:i w:val="false"/>
          <w:caps w:val="false"/>
          <w:smallCaps w:val="false"/>
          <w:sz w:val="20"/>
        </w:rPr>
        <w:t>16,000 and S$</w:t>
      </w:r>
      <w:bookmarkStart w:id="455" w:name="xdx_90D_eus-gaap--RentalIncomeNonoperati"/>
      <w:bookmarkEnd w:id="455"/>
      <w:r>
        <w:rPr>
          <w:rFonts w:ascii="Times New Roman;Times;Serif" w:hAnsi="Times New Roman;Times;Serif"/>
          <w:b w:val="false"/>
          <w:i w:val="false"/>
          <w:caps w:val="false"/>
          <w:smallCaps w:val="false"/>
          <w:sz w:val="20"/>
        </w:rPr>
        <w:t>16,000,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expenses for the six months ended June 30, 2025 and 2026 were approximately S$</w:t>
      </w:r>
      <w:bookmarkStart w:id="456" w:name="xdx_904_eus-gaap--Depreciation_c20250101"/>
      <w:bookmarkEnd w:id="456"/>
      <w:r>
        <w:rPr>
          <w:rFonts w:ascii="Times New Roman;Times;Serif" w:hAnsi="Times New Roman;Times;Serif"/>
          <w:b w:val="false"/>
          <w:i w:val="false"/>
          <w:caps w:val="false"/>
          <w:smallCaps w:val="false"/>
          <w:sz w:val="20"/>
        </w:rPr>
        <w:t>24,000 and S$</w:t>
      </w:r>
      <w:bookmarkStart w:id="457" w:name="xdx_90B_eus-gaap--Depreciation_c20260101"/>
      <w:bookmarkEnd w:id="457"/>
      <w:r>
        <w:rPr>
          <w:rFonts w:ascii="Times New Roman;Times;Serif" w:hAnsi="Times New Roman;Times;Serif"/>
          <w:b w:val="false"/>
          <w:i w:val="false"/>
          <w:caps w:val="false"/>
          <w:smallCaps w:val="false"/>
          <w:sz w:val="20"/>
        </w:rPr>
        <w:t>20,000, respectively, recognize under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8" w:name="xdx_80F_eus-gaap--IntangibleAssetsDisclo"/>
      <w:bookmarkEnd w:id="458"/>
      <w:r>
        <w:rPr>
          <w:rFonts w:ascii="Times New Roman;Times;Serif" w:hAnsi="Times New Roman;Times;Serif"/>
          <w:b/>
          <w:i w:val="false"/>
          <w:caps w:val="false"/>
          <w:smallCaps w:val="false"/>
          <w:sz w:val="20"/>
        </w:rPr>
        <w:t xml:space="preserve">Note 7- </w:t>
      </w:r>
      <w:bookmarkStart w:id="459" w:name="xdx_82C_zeUzjyfrTtQi"/>
      <w:bookmarkEnd w:id="459"/>
      <w:r>
        <w:rPr>
          <w:rFonts w:ascii="Times New Roman;Times;Serif" w:hAnsi="Times New Roman;Times;Serif"/>
          <w:b/>
          <w:i w:val="false"/>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60" w:name="xdx_891_eus-gaap--ScheduleOfFiniteLivedI"/>
      <w:bookmarkEnd w:id="460"/>
      <w:r>
        <w:rPr>
          <w:rFonts w:ascii="Times New Roman;Times;Serif" w:hAnsi="Times New Roman;Times;Serif"/>
          <w:b w:val="false"/>
          <w:i w:val="false"/>
          <w:caps w:val="false"/>
          <w:smallCaps w:val="false"/>
          <w:sz w:val="20"/>
        </w:rPr>
        <w:t>Intangible assets consisted of the following:</w:t>
      </w:r>
    </w:p>
    <w:p>
      <w:pPr>
        <w:pStyle w:val="TextBody"/>
        <w:bidi w:val="0"/>
        <w:spacing w:before="0" w:after="0"/>
        <w:ind w:left="0" w:right="0" w:hanging="0"/>
        <w:jc w:val="both"/>
        <w:rPr>
          <w:caps w:val="false"/>
          <w:smallCaps w:val="false"/>
        </w:rPr>
      </w:pPr>
      <w:r>
        <w:rPr>
          <w:caps w:val="false"/>
          <w:smallCaps w:val="false"/>
        </w:rPr>
        <w:t> </w:t>
      </w:r>
      <w:bookmarkStart w:id="461" w:name="xdx_8B0_zeDEWKQPqLv"/>
      <w:bookmarkEnd w:id="461"/>
      <w:r>
        <w:rPr>
          <w:rFonts w:ascii="Times New Roman;Times;Serif" w:hAnsi="Times New Roman;Times;Serif"/>
          <w:b w:val="false"/>
          <w:i w:val="false"/>
          <w:caps w:val="false"/>
          <w:smallCaps w:val="false"/>
          <w:sz w:val="20"/>
        </w:rPr>
        <w:t>Schedule of intangible assets</w:t>
      </w:r>
    </w:p>
    <w:tbl>
      <w:tblPr>
        <w:tblW w:w="4538" w:type="dxa"/>
        <w:jc w:val="left"/>
        <w:tblInd w:w="0" w:type="dxa"/>
        <w:tblLayout w:type="fixed"/>
        <w:tblCellMar>
          <w:top w:w="0" w:type="dxa"/>
          <w:left w:w="0" w:type="dxa"/>
          <w:bottom w:w="0" w:type="dxa"/>
          <w:right w:w="0" w:type="dxa"/>
        </w:tblCellMar>
      </w:tblPr>
      <w:tblGrid>
        <w:gridCol w:w="1925"/>
        <w:gridCol w:w="60"/>
        <w:gridCol w:w="214"/>
        <w:gridCol w:w="1200"/>
        <w:gridCol w:w="95"/>
        <w:gridCol w:w="60"/>
        <w:gridCol w:w="132"/>
        <w:gridCol w:w="742"/>
        <w:gridCol w:w="110"/>
      </w:tblGrid>
      <w:tr>
        <w:trPr/>
        <w:tc>
          <w:tcPr>
            <w:tcW w:w="19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62" w:name="xdx_498_20251231_zOraquaxQq94"/>
            <w:bookmarkEnd w:id="462"/>
          </w:p>
        </w:tc>
        <w:tc>
          <w:tcPr>
            <w:tcW w:w="1414" w:type="dxa"/>
            <w:gridSpan w:val="2"/>
            <w:tcBorders>
              <w:bottom w:val="single" w:sz="8" w:space="0" w:color="000000"/>
            </w:tcBorders>
            <w:tcMar>
              <w:bottom w:w="28" w:type="dxa"/>
            </w:tcMar>
            <w:vAlign w:val="center"/>
          </w:tcPr>
          <w:p>
            <w:pPr>
              <w:pStyle w:val="TableContents"/>
              <w:bidi w:val="0"/>
              <w:jc w:val="center"/>
              <w:rPr>
                <w:b/>
              </w:rPr>
            </w:pPr>
            <w:r>
              <w:rPr>
                <w:b/>
              </w:rPr>
              <w:t>December 31,</w:t>
            </w:r>
          </w:p>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3" w:name="xdx_49D_20260630_zJwaNTlahaA"/>
            <w:bookmarkEnd w:id="463"/>
          </w:p>
        </w:tc>
        <w:tc>
          <w:tcPr>
            <w:tcW w:w="874" w:type="dxa"/>
            <w:gridSpan w:val="2"/>
            <w:tcBorders>
              <w:bottom w:val="single" w:sz="8" w:space="0" w:color="000000"/>
            </w:tcBorders>
            <w:tcMar>
              <w:bottom w:w="28" w:type="dxa"/>
            </w:tcMar>
            <w:vAlign w:val="center"/>
          </w:tcPr>
          <w:p>
            <w:pPr>
              <w:pStyle w:val="TableContents"/>
              <w:bidi w:val="0"/>
              <w:jc w:val="center"/>
              <w:rPr>
                <w:b/>
              </w:rPr>
            </w:pPr>
            <w:r>
              <w:rPr>
                <w:b/>
              </w:rPr>
              <w:t>June 30,</w:t>
            </w:r>
          </w:p>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S$’000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S$’000</w:t>
            </w:r>
          </w:p>
        </w:tc>
        <w:tc>
          <w:tcPr>
            <w:tcW w:w="110"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283"/>
              <w:jc w:val="left"/>
              <w:rPr/>
            </w:pPr>
            <w:r>
              <w:rPr/>
              <w:t>At cost: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64" w:name="xdx_401_eus-gaap--FiniteLivedIntangibleA"/>
            <w:bookmarkEnd w:id="464"/>
          </w:p>
        </w:tc>
      </w:tr>
      <w:tr>
        <w:trPr/>
        <w:tc>
          <w:tcPr>
            <w:tcW w:w="1925" w:type="dxa"/>
            <w:tcBorders/>
            <w:shd w:fill="FFFFFF" w:val="clear"/>
            <w:vAlign w:val="center"/>
          </w:tcPr>
          <w:p>
            <w:pPr>
              <w:pStyle w:val="TableContents"/>
              <w:bidi w:val="0"/>
              <w:spacing w:before="0" w:after="283"/>
              <w:jc w:val="left"/>
              <w:rPr/>
            </w:pPr>
            <w:r>
              <w:rPr/>
              <w:t>Purchase software</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90</w:t>
            </w:r>
          </w:p>
        </w:tc>
        <w:tc>
          <w:tcPr>
            <w:tcW w:w="110" w:type="dxa"/>
            <w:tcBorders/>
            <w:shd w:fill="FFFFFF" w:val="clear"/>
            <w:vAlign w:val="center"/>
          </w:tcPr>
          <w:p>
            <w:pPr>
              <w:pStyle w:val="TableContents"/>
              <w:bidi w:val="0"/>
              <w:spacing w:before="0" w:after="283"/>
              <w:jc w:val="left"/>
              <w:rPr/>
            </w:pPr>
            <w:r>
              <w:rPr/>
              <w:t> </w:t>
            </w:r>
            <w:bookmarkStart w:id="465" w:name="xdx_40D_eus-gaap--FiniteLivedIntangibleA"/>
            <w:bookmarkEnd w:id="465"/>
          </w:p>
        </w:tc>
      </w:tr>
      <w:tr>
        <w:trPr/>
        <w:tc>
          <w:tcPr>
            <w:tcW w:w="1925" w:type="dxa"/>
            <w:tcBorders/>
            <w:shd w:fill="CCEEFF" w:val="clear"/>
            <w:vAlign w:val="center"/>
          </w:tcPr>
          <w:p>
            <w:pPr>
              <w:pStyle w:val="TableContents"/>
              <w:bidi w:val="0"/>
              <w:spacing w:before="0" w:after="283"/>
              <w:jc w:val="left"/>
              <w:rPr/>
            </w:pPr>
            <w:r>
              <w:rPr/>
              <w:t>Less : Amortization</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0" w:type="dxa"/>
            <w:tcBorders>
              <w:bottom w:val="single" w:sz="8" w:space="0" w:color="000000"/>
            </w:tcBorders>
            <w:shd w:fill="CCEEFF" w:val="clear"/>
            <w:tcMar>
              <w:bottom w:w="28" w:type="dxa"/>
            </w:tcMar>
            <w:vAlign w:val="center"/>
          </w:tcPr>
          <w:p>
            <w:pPr>
              <w:pStyle w:val="TableContents"/>
              <w:bidi w:val="0"/>
              <w:spacing w:before="0" w:after="283"/>
              <w:jc w:val="right"/>
              <w:rPr/>
            </w:pPr>
            <w:r>
              <w:rPr/>
              <w:t>(17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2" w:type="dxa"/>
            <w:tcBorders>
              <w:bottom w:val="single" w:sz="8" w:space="0" w:color="000000"/>
            </w:tcBorders>
            <w:shd w:fill="CCEEFF" w:val="clear"/>
            <w:tcMar>
              <w:bottom w:w="28" w:type="dxa"/>
            </w:tcMar>
            <w:vAlign w:val="center"/>
          </w:tcPr>
          <w:p>
            <w:pPr>
              <w:pStyle w:val="TableContents"/>
              <w:bidi w:val="0"/>
              <w:spacing w:before="0" w:after="283"/>
              <w:jc w:val="right"/>
              <w:rPr/>
            </w:pPr>
            <w:r>
              <w:rPr/>
              <w:t>(26</w:t>
            </w:r>
          </w:p>
        </w:tc>
        <w:tc>
          <w:tcPr>
            <w:tcW w:w="110" w:type="dxa"/>
            <w:tcBorders/>
            <w:shd w:fill="CCEEFF" w:val="clear"/>
            <w:vAlign w:val="center"/>
          </w:tcPr>
          <w:p>
            <w:pPr>
              <w:pStyle w:val="TableContents"/>
              <w:bidi w:val="0"/>
              <w:spacing w:before="0" w:after="283"/>
              <w:jc w:val="left"/>
              <w:rPr/>
            </w:pPr>
            <w:r>
              <w:rPr/>
              <w:t>)</w:t>
            </w:r>
            <w:bookmarkStart w:id="466" w:name="xdx_402_eus-gaap--FiniteLivedIntangibleA"/>
            <w:bookmarkEnd w:id="466"/>
          </w:p>
        </w:tc>
      </w:tr>
      <w:tr>
        <w:trPr/>
        <w:tc>
          <w:tcPr>
            <w:tcW w:w="192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0" w:type="dxa"/>
            <w:tcBorders>
              <w:bottom w:val="single" w:sz="8" w:space="0" w:color="000000"/>
            </w:tcBorders>
            <w:shd w:fill="FFFFFF" w:val="clear"/>
            <w:tcMar>
              <w:bottom w:w="28" w:type="dxa"/>
            </w:tcMar>
            <w:vAlign w:val="center"/>
          </w:tcPr>
          <w:p>
            <w:pPr>
              <w:pStyle w:val="TableContents"/>
              <w:bidi w:val="0"/>
              <w:spacing w:before="0" w:after="283"/>
              <w:jc w:val="right"/>
              <w:rPr/>
            </w:pPr>
            <w:r>
              <w:rPr/>
              <w:t>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2" w:type="dxa"/>
            <w:tcBorders>
              <w:bottom w:val="single" w:sz="8" w:space="0" w:color="000000"/>
            </w:tcBorders>
            <w:shd w:fill="FFFFFF" w:val="clear"/>
            <w:tcMar>
              <w:bottom w:w="28" w:type="dxa"/>
            </w:tcMar>
            <w:vAlign w:val="center"/>
          </w:tcPr>
          <w:p>
            <w:pPr>
              <w:pStyle w:val="TableContents"/>
              <w:bidi w:val="0"/>
              <w:spacing w:before="0" w:after="283"/>
              <w:jc w:val="right"/>
              <w:rPr/>
            </w:pPr>
            <w:r>
              <w:rPr/>
              <w:t>64</w:t>
            </w:r>
          </w:p>
        </w:tc>
        <w:tc>
          <w:tcPr>
            <w:tcW w:w="110" w:type="dxa"/>
            <w:tcBorders/>
            <w:shd w:fill="FFFFFF" w:val="clear"/>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67" w:name="xdx_40A_eus-gaap--FiniteLivedIntangibleA"/>
            <w:bookmarkEnd w:id="467"/>
          </w:p>
        </w:tc>
      </w:tr>
      <w:tr>
        <w:trPr/>
        <w:tc>
          <w:tcPr>
            <w:tcW w:w="1925" w:type="dxa"/>
            <w:tcBorders/>
            <w:shd w:fill="FFFFFF" w:val="clear"/>
            <w:vAlign w:val="center"/>
          </w:tcPr>
          <w:p>
            <w:pPr>
              <w:pStyle w:val="TableContents"/>
              <w:bidi w:val="0"/>
              <w:spacing w:before="0" w:after="283"/>
              <w:jc w:val="left"/>
              <w:rPr/>
            </w:pPr>
            <w:r>
              <w:rPr/>
              <w:t>Student Portfolio</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36</w:t>
            </w:r>
          </w:p>
        </w:tc>
        <w:tc>
          <w:tcPr>
            <w:tcW w:w="110" w:type="dxa"/>
            <w:tcBorders/>
            <w:shd w:fill="FFFFFF" w:val="clear"/>
            <w:vAlign w:val="center"/>
          </w:tcPr>
          <w:p>
            <w:pPr>
              <w:pStyle w:val="TableContents"/>
              <w:bidi w:val="0"/>
              <w:spacing w:before="0" w:after="283"/>
              <w:jc w:val="left"/>
              <w:rPr/>
            </w:pPr>
            <w:r>
              <w:rPr/>
              <w:t> </w:t>
            </w:r>
            <w:bookmarkStart w:id="468" w:name="xdx_40A_eus-gaap--FiniteLivedIntangibleA"/>
            <w:bookmarkEnd w:id="468"/>
          </w:p>
        </w:tc>
      </w:tr>
      <w:tr>
        <w:trPr/>
        <w:tc>
          <w:tcPr>
            <w:tcW w:w="19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assets gross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36</w:t>
            </w:r>
          </w:p>
        </w:tc>
        <w:tc>
          <w:tcPr>
            <w:tcW w:w="110" w:type="dxa"/>
            <w:tcBorders/>
            <w:shd w:fill="FFFFFF" w:val="clear"/>
            <w:vAlign w:val="center"/>
          </w:tcPr>
          <w:p>
            <w:pPr>
              <w:pStyle w:val="TableContents"/>
              <w:bidi w:val="0"/>
              <w:spacing w:before="0" w:after="283"/>
              <w:jc w:val="left"/>
              <w:rPr/>
            </w:pPr>
            <w:r>
              <w:rPr/>
              <w:t> </w:t>
            </w:r>
            <w:bookmarkStart w:id="469" w:name="xdx_404_eus-gaap--FiniteLivedIntangibleA"/>
            <w:bookmarkEnd w:id="469"/>
          </w:p>
        </w:tc>
      </w:tr>
      <w:tr>
        <w:trPr/>
        <w:tc>
          <w:tcPr>
            <w:tcW w:w="1925" w:type="dxa"/>
            <w:tcBorders/>
            <w:shd w:fill="CCEEFF" w:val="clear"/>
            <w:vAlign w:val="center"/>
          </w:tcPr>
          <w:p>
            <w:pPr>
              <w:pStyle w:val="TableContents"/>
              <w:bidi w:val="0"/>
              <w:spacing w:before="0" w:after="283"/>
              <w:jc w:val="left"/>
              <w:rPr/>
            </w:pPr>
            <w:r>
              <w:rPr/>
              <w:t>Less : Amortization</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2" w:type="dxa"/>
            <w:tcBorders>
              <w:bottom w:val="single" w:sz="8" w:space="0" w:color="000000"/>
            </w:tcBorders>
            <w:shd w:fill="CCEEFF" w:val="clear"/>
            <w:tcMar>
              <w:bottom w:w="28" w:type="dxa"/>
            </w:tcMar>
            <w:vAlign w:val="center"/>
          </w:tcPr>
          <w:p>
            <w:pPr>
              <w:pStyle w:val="TableContents"/>
              <w:bidi w:val="0"/>
              <w:spacing w:before="0" w:after="283"/>
              <w:jc w:val="right"/>
              <w:rPr/>
            </w:pPr>
            <w:r>
              <w:rPr/>
              <w:t>(3</w:t>
            </w:r>
          </w:p>
        </w:tc>
        <w:tc>
          <w:tcPr>
            <w:tcW w:w="110" w:type="dxa"/>
            <w:tcBorders/>
            <w:shd w:fill="CCEEFF" w:val="clear"/>
            <w:vAlign w:val="center"/>
          </w:tcPr>
          <w:p>
            <w:pPr>
              <w:pStyle w:val="TableContents"/>
              <w:bidi w:val="0"/>
              <w:spacing w:before="0" w:after="283"/>
              <w:jc w:val="left"/>
              <w:rPr/>
            </w:pPr>
            <w:r>
              <w:rPr/>
              <w:t>)</w:t>
            </w:r>
            <w:bookmarkStart w:id="470" w:name="xdx_40F_eus-gaap--FiniteLivedIntangibleA"/>
            <w:bookmarkEnd w:id="470"/>
          </w:p>
        </w:tc>
      </w:tr>
      <w:tr>
        <w:trPr/>
        <w:tc>
          <w:tcPr>
            <w:tcW w:w="192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2" w:type="dxa"/>
            <w:tcBorders>
              <w:bottom w:val="single" w:sz="8" w:space="0" w:color="000000"/>
            </w:tcBorders>
            <w:shd w:fill="FFFFFF" w:val="clear"/>
            <w:tcMar>
              <w:bottom w:w="28" w:type="dxa"/>
            </w:tcMar>
            <w:vAlign w:val="center"/>
          </w:tcPr>
          <w:p>
            <w:pPr>
              <w:pStyle w:val="TableContents"/>
              <w:bidi w:val="0"/>
              <w:spacing w:before="0" w:after="283"/>
              <w:jc w:val="right"/>
              <w:rPr/>
            </w:pPr>
            <w:r>
              <w:rPr/>
              <w:t>33</w:t>
            </w:r>
          </w:p>
        </w:tc>
        <w:tc>
          <w:tcPr>
            <w:tcW w:w="110" w:type="dxa"/>
            <w:tcBorders/>
            <w:shd w:fill="FFFFFF" w:val="clear"/>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925" w:type="dxa"/>
            <w:tcBorders/>
            <w:shd w:fill="FFFFFF" w:val="clear"/>
            <w:vAlign w:val="center"/>
          </w:tcPr>
          <w:p>
            <w:pPr>
              <w:pStyle w:val="TableContents"/>
              <w:bidi w:val="0"/>
              <w:spacing w:before="0" w:after="283"/>
              <w:jc w:val="left"/>
              <w:rPr/>
            </w:pPr>
            <w:r>
              <w:rPr/>
              <w:t>Grand total</w:t>
            </w:r>
          </w:p>
        </w:tc>
        <w:tc>
          <w:tcPr>
            <w:tcW w:w="60" w:type="dxa"/>
            <w:tcBorders/>
            <w:shd w:fill="FFFFFF" w:val="clear"/>
            <w:vAlign w:val="center"/>
          </w:tcPr>
          <w:p>
            <w:pPr>
              <w:pStyle w:val="TableContents"/>
              <w:bidi w:val="0"/>
              <w:spacing w:before="0" w:after="283"/>
              <w:jc w:val="left"/>
              <w:rPr/>
            </w:pPr>
            <w:r>
              <w:rPr/>
              <w:t> </w:t>
            </w:r>
          </w:p>
        </w:tc>
        <w:tc>
          <w:tcPr>
            <w:tcW w:w="1414" w:type="dxa"/>
            <w:gridSpan w:val="2"/>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4" w:type="dxa"/>
            <w:gridSpan w:val="2"/>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71" w:name="xdx_407_eus-gaap--FiniteLivedIntangibleA"/>
            <w:bookmarkEnd w:id="471"/>
          </w:p>
        </w:tc>
      </w:tr>
      <w:tr>
        <w:trPr/>
        <w:tc>
          <w:tcPr>
            <w:tcW w:w="1925" w:type="dxa"/>
            <w:tcBorders/>
            <w:shd w:fill="CCEEFF" w:val="clear"/>
            <w:vAlign w:val="center"/>
          </w:tcPr>
          <w:p>
            <w:pPr>
              <w:pStyle w:val="TableContents"/>
              <w:bidi w:val="0"/>
              <w:spacing w:before="0" w:after="283"/>
              <w:jc w:val="left"/>
              <w:rPr/>
            </w:pPr>
            <w:r>
              <w:rPr/>
              <w:t>Purchase software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64</w:t>
            </w:r>
          </w:p>
        </w:tc>
        <w:tc>
          <w:tcPr>
            <w:tcW w:w="110" w:type="dxa"/>
            <w:tcBorders/>
            <w:shd w:fill="CCEEFF" w:val="clear"/>
            <w:vAlign w:val="center"/>
          </w:tcPr>
          <w:p>
            <w:pPr>
              <w:pStyle w:val="TableContents"/>
              <w:bidi w:val="0"/>
              <w:spacing w:before="0" w:after="283"/>
              <w:jc w:val="left"/>
              <w:rPr/>
            </w:pPr>
            <w:r>
              <w:rPr/>
              <w:t> </w:t>
            </w:r>
            <w:bookmarkStart w:id="472" w:name="xdx_402_eus-gaap--FiniteLivedIntangibleA"/>
            <w:bookmarkEnd w:id="472"/>
          </w:p>
        </w:tc>
      </w:tr>
      <w:tr>
        <w:trPr/>
        <w:tc>
          <w:tcPr>
            <w:tcW w:w="1925" w:type="dxa"/>
            <w:tcBorders/>
            <w:shd w:fill="FFFFFF" w:val="clear"/>
            <w:vAlign w:val="center"/>
          </w:tcPr>
          <w:p>
            <w:pPr>
              <w:pStyle w:val="TableContents"/>
              <w:bidi w:val="0"/>
              <w:spacing w:before="0" w:after="283"/>
              <w:jc w:val="left"/>
              <w:rPr/>
            </w:pPr>
            <w:r>
              <w:rPr/>
              <w:t>Student Portfolio</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2" w:type="dxa"/>
            <w:tcBorders>
              <w:bottom w:val="single" w:sz="8" w:space="0" w:color="000000"/>
            </w:tcBorders>
            <w:shd w:fill="FFFFFF" w:val="clear"/>
            <w:tcMar>
              <w:bottom w:w="28" w:type="dxa"/>
            </w:tcMar>
            <w:vAlign w:val="center"/>
          </w:tcPr>
          <w:p>
            <w:pPr>
              <w:pStyle w:val="TableContents"/>
              <w:bidi w:val="0"/>
              <w:spacing w:before="0" w:after="283"/>
              <w:jc w:val="right"/>
              <w:rPr/>
            </w:pPr>
            <w:r>
              <w:rPr/>
              <w:t>33</w:t>
            </w:r>
          </w:p>
        </w:tc>
        <w:tc>
          <w:tcPr>
            <w:tcW w:w="110" w:type="dxa"/>
            <w:tcBorders/>
            <w:shd w:fill="FFFFFF" w:val="clear"/>
            <w:vAlign w:val="center"/>
          </w:tcPr>
          <w:p>
            <w:pPr>
              <w:pStyle w:val="TableContents"/>
              <w:bidi w:val="0"/>
              <w:spacing w:before="0" w:after="283"/>
              <w:jc w:val="left"/>
              <w:rPr/>
            </w:pPr>
            <w:r>
              <w:rPr/>
              <w:t> </w:t>
            </w:r>
            <w:bookmarkStart w:id="473" w:name="xdx_40D_eus-gaap--FiniteLivedIntangibleA"/>
            <w:bookmarkEnd w:id="473"/>
          </w:p>
        </w:tc>
      </w:tr>
      <w:tr>
        <w:trPr/>
        <w:tc>
          <w:tcPr>
            <w:tcW w:w="1925"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2" w:type="dxa"/>
            <w:tcBorders>
              <w:bottom w:val="single" w:sz="8" w:space="0" w:color="000000"/>
            </w:tcBorders>
            <w:shd w:fill="FFFFFF" w:val="clear"/>
            <w:tcMar>
              <w:bottom w:w="28" w:type="dxa"/>
            </w:tcMar>
            <w:vAlign w:val="center"/>
          </w:tcPr>
          <w:p>
            <w:pPr>
              <w:pStyle w:val="TableContents"/>
              <w:bidi w:val="0"/>
              <w:spacing w:before="0" w:after="283"/>
              <w:jc w:val="right"/>
              <w:rPr/>
            </w:pPr>
            <w:r>
              <w:rPr/>
              <w:t>33</w:t>
            </w:r>
          </w:p>
        </w:tc>
        <w:tc>
          <w:tcPr>
            <w:tcW w:w="110" w:type="dxa"/>
            <w:tcBorders/>
            <w:shd w:fill="FFFFFF" w:val="clear"/>
            <w:vAlign w:val="center"/>
          </w:tcPr>
          <w:p>
            <w:pPr>
              <w:pStyle w:val="TableContents"/>
              <w:bidi w:val="0"/>
              <w:spacing w:before="0" w:after="283"/>
              <w:jc w:val="left"/>
              <w:rPr/>
            </w:pPr>
            <w:r>
              <w:rPr/>
              <w:t> </w:t>
            </w:r>
            <w:bookmarkStart w:id="474" w:name="xdx_40F_eus-gaap--FiniteLivedIntangibleA"/>
            <w:bookmarkEnd w:id="474"/>
          </w:p>
        </w:tc>
      </w:tr>
      <w:tr>
        <w:trPr/>
        <w:tc>
          <w:tcPr>
            <w:tcW w:w="19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0" w:type="dxa"/>
            <w:tcBorders>
              <w:bottom w:val="single" w:sz="8" w:space="0" w:color="000000"/>
            </w:tcBorders>
            <w:shd w:fill="CCEEFF" w:val="clear"/>
            <w:tcMar>
              <w:bottom w:w="28" w:type="dxa"/>
            </w:tcMar>
            <w:vAlign w:val="center"/>
          </w:tcPr>
          <w:p>
            <w:pPr>
              <w:pStyle w:val="TableContents"/>
              <w:bidi w:val="0"/>
              <w:spacing w:before="0" w:after="283"/>
              <w:jc w:val="right"/>
              <w:rPr/>
            </w:pPr>
            <w:r>
              <w:rPr/>
              <w:t>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2" w:type="dxa"/>
            <w:tcBorders>
              <w:bottom w:val="single" w:sz="8" w:space="0" w:color="000000"/>
            </w:tcBorders>
            <w:shd w:fill="CCEEFF" w:val="clear"/>
            <w:tcMar>
              <w:bottom w:w="28" w:type="dxa"/>
            </w:tcMar>
            <w:vAlign w:val="center"/>
          </w:tcPr>
          <w:p>
            <w:pPr>
              <w:pStyle w:val="TableContents"/>
              <w:bidi w:val="0"/>
              <w:spacing w:before="0" w:after="283"/>
              <w:jc w:val="right"/>
              <w:rPr/>
            </w:pPr>
            <w:r>
              <w:rPr/>
              <w:t>97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75" w:name="xdx_8AF_zlNbkNJfAVt9"/>
      <w:bookmarkEnd w:id="47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for the six months ended June 30, 2025 and 2026 were approximately S$</w:t>
      </w:r>
      <w:bookmarkStart w:id="476" w:name="xdx_906_eus-gaap--AmortizationOfIntangib"/>
      <w:bookmarkEnd w:id="476"/>
      <w:r>
        <w:rPr>
          <w:rFonts w:ascii="Times New Roman;Times;Serif" w:hAnsi="Times New Roman;Times;Serif"/>
          <w:b w:val="false"/>
          <w:i w:val="false"/>
          <w:caps w:val="false"/>
          <w:smallCaps w:val="false"/>
          <w:sz w:val="20"/>
        </w:rPr>
        <w:t>8,000 and S$</w:t>
      </w:r>
      <w:bookmarkStart w:id="477" w:name="xdx_90C_eus-gaap--AmortizationOfIntangib"/>
      <w:bookmarkEnd w:id="477"/>
      <w:r>
        <w:rPr>
          <w:rFonts w:ascii="Times New Roman;Times;Serif" w:hAnsi="Times New Roman;Times;Serif"/>
          <w:b w:val="false"/>
          <w:i w:val="false"/>
          <w:caps w:val="false"/>
          <w:smallCaps w:val="false"/>
          <w:sz w:val="20"/>
        </w:rPr>
        <w:t>12,000, respectively, recognize under general and administrative expenses.</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78" w:name="xdx_809_eus-gaap--LesseeOperatingLeasesT"/>
      <w:bookmarkEnd w:id="478"/>
      <w:r>
        <w:rPr>
          <w:rFonts w:ascii="Times New Roman;Times;Serif" w:hAnsi="Times New Roman;Times;Serif"/>
          <w:b/>
          <w:i w:val="false"/>
          <w:caps w:val="false"/>
          <w:smallCaps w:val="false"/>
          <w:sz w:val="20"/>
        </w:rPr>
        <w:t xml:space="preserve">Note 8 - </w:t>
      </w:r>
      <w:bookmarkStart w:id="479" w:name="xdx_823_zAlki5jchVW4"/>
      <w:bookmarkEnd w:id="479"/>
      <w:r>
        <w:rPr>
          <w:rFonts w:ascii="Times New Roman;Times;Serif" w:hAnsi="Times New Roman;Times;Serif"/>
          <w:b/>
          <w:i w:val="false"/>
          <w:caps w:val="false"/>
          <w:smallCaps w:val="false"/>
          <w:sz w:val="20"/>
        </w:rPr>
        <w:t>Right of use assets and operating lease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8, 2023, the Company entered into a new lease agreement for a lease term of two years for an office in Singapore. The Company is committed to pay a total rental fee of approximately S$</w:t>
      </w:r>
      <w:bookmarkStart w:id="480" w:name="xdx_90D_ecustom--RentalFee_c20231208__20"/>
      <w:bookmarkEnd w:id="480"/>
      <w:r>
        <w:rPr>
          <w:rFonts w:ascii="Times New Roman;Times;Serif" w:hAnsi="Times New Roman;Times;Serif"/>
          <w:b w:val="false"/>
          <w:i w:val="false"/>
          <w:caps w:val="false"/>
          <w:smallCaps w:val="false"/>
          <w:sz w:val="20"/>
        </w:rPr>
        <w:t>37,000 for the full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leases are included in the right-of-use assets, other current liabilities and long-term lease liabilities on the unaudited interim Consolidated Balance Sheets. Right-of-use assets and lease liabilities are recognized at each lease’s commencement date based on the present values of its lease payments over its respective lease term. When a borrowing rate is not explicitly available for a lease, the Company’s incremental borrowing rate is used based on information available at the lease’s commencement date to determine the present value of its lease payments. Operating lease payments are recognized on a straight-line basis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used a weighted average incremental borrowing rate of </w:t>
      </w:r>
      <w:bookmarkStart w:id="481" w:name="xdx_908_eus-gaap--OperatingLeaseWeighted"/>
      <w:bookmarkEnd w:id="481"/>
      <w:r>
        <w:rPr>
          <w:rFonts w:ascii="Times New Roman;Times;Serif" w:hAnsi="Times New Roman;Times;Serif"/>
          <w:b w:val="false"/>
          <w:i w:val="false"/>
          <w:caps w:val="false"/>
          <w:smallCaps w:val="false"/>
          <w:sz w:val="20"/>
        </w:rPr>
        <w:t xml:space="preserve">5.25% to determine the present value of the lease payments. The weighted average remaining life of the lease was </w:t>
      </w:r>
      <w:bookmarkStart w:id="482" w:name="xdx_900_eus-gaap--OperatingLeaseWeighted"/>
      <w:bookmarkEnd w:id="482"/>
      <w:r>
        <w:rPr>
          <w:rFonts w:ascii="Times New Roman;Times;Serif" w:hAnsi="Times New Roman;Times;Serif"/>
          <w:b w:val="false"/>
          <w:i w:val="false"/>
          <w:caps w:val="false"/>
          <w:smallCaps w:val="false"/>
          <w:sz w:val="20"/>
        </w:rPr>
        <w:t>1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right-of-use assets were S$ </w:t>
      </w:r>
      <w:bookmarkStart w:id="483" w:name="xdx_902_eus-gaap--OperatingLeaseRightOfU"/>
      <w:bookmarkEnd w:id="483"/>
      <w:r>
        <w:rPr>
          <w:rFonts w:ascii="Times New Roman;Times;Serif" w:hAnsi="Times New Roman;Times;Serif"/>
          <w:b w:val="false"/>
          <w:i w:val="false"/>
          <w:caps w:val="false"/>
          <w:smallCaps w:val="false"/>
          <w:sz w:val="20"/>
        </w:rPr>
        <w:t xml:space="preserve">Nil and lease liabilities were S$ </w:t>
      </w:r>
      <w:bookmarkStart w:id="484" w:name="xdx_909_eus-gaap--OperatingLeaseLiabilit"/>
      <w:bookmarkEnd w:id="484"/>
      <w:r>
        <w:rPr>
          <w:rFonts w:ascii="Times New Roman;Times;Serif" w:hAnsi="Times New Roman;Times;Serif"/>
          <w:b w:val="false"/>
          <w:i w:val="false"/>
          <w:caps w:val="false"/>
          <w:smallCaps w:val="false"/>
          <w:sz w:val="20"/>
        </w:rPr>
        <w:t>Nil.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right-of-use assets were S$</w:t>
      </w:r>
      <w:bookmarkStart w:id="485" w:name="xdx_905_eus-gaap--OperatingLeaseRightOfU"/>
      <w:bookmarkEnd w:id="485"/>
      <w:r>
        <w:rPr>
          <w:rFonts w:ascii="Times New Roman;Times;Serif" w:hAnsi="Times New Roman;Times;Serif"/>
          <w:b w:val="false"/>
          <w:i w:val="false"/>
          <w:caps w:val="false"/>
          <w:smallCaps w:val="false"/>
          <w:sz w:val="20"/>
        </w:rPr>
        <w:t>28,000 and lease liabilities were S$</w:t>
      </w:r>
      <w:bookmarkStart w:id="486" w:name="xdx_907_eus-gaap--OperatingLeaseLiabilit"/>
      <w:bookmarkEnd w:id="486"/>
      <w:r>
        <w:rPr>
          <w:rFonts w:ascii="Times New Roman;Times;Serif" w:hAnsi="Times New Roman;Times;Serif"/>
          <w:b w:val="false"/>
          <w:i w:val="false"/>
          <w:caps w:val="false"/>
          <w:smallCaps w:val="false"/>
          <w:sz w:val="20"/>
        </w:rPr>
        <w:t>28,000.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87" w:name="xdx_89D_eus-gaap--LesseeOperatingLeaseLi"/>
      <w:bookmarkEnd w:id="487"/>
      <w:r>
        <w:rPr>
          <w:rFonts w:ascii="Times New Roman;Times;Serif" w:hAnsi="Times New Roman;Times;Serif"/>
          <w:b w:val="false"/>
          <w:i w:val="false"/>
          <w:caps w:val="false"/>
          <w:smallCaps w:val="false"/>
          <w:sz w:val="20"/>
        </w:rPr>
        <w:t>Information pertaining to lease amounts recognized in the unaudited interim consolidated financial statements is summarized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bookmarkStart w:id="488" w:name="xdx_8BD_zvxCTUyd1dZ5"/>
      <w:bookmarkEnd w:id="488"/>
      <w:r>
        <w:rPr>
          <w:rFonts w:ascii="Times New Roman;Times;Serif" w:hAnsi="Times New Roman;Times;Serif"/>
          <w:b w:val="false"/>
          <w:i w:val="false"/>
          <w:caps w:val="false"/>
          <w:smallCaps w:val="false"/>
          <w:sz w:val="20"/>
        </w:rPr>
        <w:t>Schedule of future minimum lease payments</w:t>
      </w:r>
    </w:p>
    <w:tbl>
      <w:tblPr>
        <w:tblW w:w="5819" w:type="dxa"/>
        <w:jc w:val="left"/>
        <w:tblInd w:w="0" w:type="dxa"/>
        <w:tblLayout w:type="fixed"/>
        <w:tblCellMar>
          <w:top w:w="0" w:type="dxa"/>
          <w:left w:w="0" w:type="dxa"/>
          <w:bottom w:w="0" w:type="dxa"/>
          <w:right w:w="0" w:type="dxa"/>
        </w:tblCellMar>
      </w:tblPr>
      <w:tblGrid>
        <w:gridCol w:w="3920"/>
        <w:gridCol w:w="60"/>
        <w:gridCol w:w="222"/>
        <w:gridCol w:w="1462"/>
        <w:gridCol w:w="155"/>
      </w:tblGrid>
      <w:tr>
        <w:trPr/>
        <w:tc>
          <w:tcPr>
            <w:tcW w:w="39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489" w:name="xdx_491_20260630_zg5JvVZ64iL1"/>
            <w:bookmarkEnd w:id="489"/>
          </w:p>
        </w:tc>
        <w:tc>
          <w:tcPr>
            <w:tcW w:w="16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Operating leases</w:t>
            </w:r>
          </w:p>
        </w:tc>
        <w:tc>
          <w:tcPr>
            <w:tcW w:w="155" w:type="dxa"/>
            <w:tcBorders/>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S$’000</w:t>
            </w:r>
          </w:p>
        </w:tc>
        <w:tc>
          <w:tcPr>
            <w:tcW w:w="155" w:type="dxa"/>
            <w:tcBorders/>
            <w:shd w:fill="FFFFFF" w:val="clear"/>
            <w:vAlign w:val="center"/>
          </w:tcPr>
          <w:p>
            <w:pPr>
              <w:pStyle w:val="TableContents"/>
              <w:bidi w:val="0"/>
              <w:spacing w:before="0" w:after="283"/>
              <w:jc w:val="left"/>
              <w:rPr/>
            </w:pPr>
            <w:r>
              <w:rPr/>
              <w:t> </w:t>
            </w:r>
            <w:bookmarkStart w:id="490" w:name="xdx_40A_eus-gaap--LesseeOperatingLeaseLi"/>
            <w:bookmarkEnd w:id="490"/>
          </w:p>
        </w:tc>
      </w:tr>
      <w:tr>
        <w:trPr/>
        <w:tc>
          <w:tcPr>
            <w:tcW w:w="3920" w:type="dxa"/>
            <w:tcBorders/>
            <w:shd w:fill="CCEEFF" w:val="clear"/>
            <w:vAlign w:val="center"/>
          </w:tcPr>
          <w:p>
            <w:pPr>
              <w:pStyle w:val="TableContents"/>
              <w:bidi w:val="0"/>
              <w:spacing w:before="0" w:after="283"/>
              <w:jc w:val="both"/>
              <w:rPr/>
            </w:pPr>
            <w:r>
              <w:rPr/>
              <w:t>Six Months Ended June 30, 2026</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pPr>
            <w:r>
              <w:rPr/>
              <w:t>28</w:t>
            </w:r>
          </w:p>
        </w:tc>
        <w:tc>
          <w:tcPr>
            <w:tcW w:w="155" w:type="dxa"/>
            <w:tcBorders/>
            <w:shd w:fill="CCEEFF" w:val="clear"/>
            <w:vAlign w:val="center"/>
          </w:tcPr>
          <w:p>
            <w:pPr>
              <w:pStyle w:val="TableContents"/>
              <w:bidi w:val="0"/>
              <w:spacing w:before="0" w:after="283"/>
              <w:jc w:val="left"/>
              <w:rPr/>
            </w:pPr>
            <w:r>
              <w:rPr/>
              <w:t> </w:t>
            </w:r>
            <w:bookmarkStart w:id="491" w:name="xdx_404_eus-gaap--LesseeOperatingLeaseLi"/>
            <w:bookmarkEnd w:id="491"/>
          </w:p>
        </w:tc>
      </w:tr>
      <w:tr>
        <w:trPr/>
        <w:tc>
          <w:tcPr>
            <w:tcW w:w="3920" w:type="dxa"/>
            <w:tcBorders/>
            <w:shd w:fill="FFFFFF" w:val="clear"/>
            <w:vAlign w:val="center"/>
          </w:tcPr>
          <w:p>
            <w:pPr>
              <w:pStyle w:val="TableContents"/>
              <w:bidi w:val="0"/>
              <w:spacing w:before="0" w:after="283"/>
              <w:jc w:val="both"/>
              <w:rPr/>
            </w:pPr>
            <w:r>
              <w:rPr/>
              <w:t>Less: Imputed interest</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w:t>
            </w:r>
            <w:bookmarkStart w:id="492" w:name="xdx_40D_eus-gaap--OperatingLeaseLiabilit"/>
            <w:bookmarkEnd w:id="492"/>
          </w:p>
        </w:tc>
      </w:tr>
      <w:tr>
        <w:trPr/>
        <w:tc>
          <w:tcPr>
            <w:tcW w:w="3920" w:type="dxa"/>
            <w:tcBorders/>
            <w:shd w:fill="CCEEFF" w:val="clear"/>
            <w:vAlign w:val="center"/>
          </w:tcPr>
          <w:p>
            <w:pPr>
              <w:pStyle w:val="TableContents"/>
              <w:bidi w:val="0"/>
              <w:spacing w:before="0" w:after="283"/>
              <w:jc w:val="both"/>
              <w:rPr/>
            </w:pPr>
            <w:r>
              <w:rPr/>
              <w:t>Present value of operating lease liabilities</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62" w:type="dxa"/>
            <w:tcBorders>
              <w:bottom w:val="single" w:sz="8" w:space="0" w:color="000000"/>
            </w:tcBorders>
            <w:shd w:fill="CCEEFF" w:val="clear"/>
            <w:tcMar>
              <w:bottom w:w="28" w:type="dxa"/>
            </w:tcMar>
            <w:vAlign w:val="center"/>
          </w:tcPr>
          <w:p>
            <w:pPr>
              <w:pStyle w:val="TableContents"/>
              <w:bidi w:val="0"/>
              <w:spacing w:before="0" w:after="283"/>
              <w:jc w:val="right"/>
              <w:rPr/>
            </w:pPr>
            <w:r>
              <w:rPr/>
              <w:t>28</w:t>
            </w:r>
          </w:p>
        </w:tc>
        <w:tc>
          <w:tcPr>
            <w:tcW w:w="15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bookmarkStart w:id="493" w:name="xdx_401_eus-gaap--OperatingLeaseLiabilit"/>
            <w:bookmarkEnd w:id="493"/>
          </w:p>
        </w:tc>
      </w:tr>
      <w:tr>
        <w:trPr/>
        <w:tc>
          <w:tcPr>
            <w:tcW w:w="3920" w:type="dxa"/>
            <w:tcBorders/>
            <w:shd w:fill="CCEEFF" w:val="clear"/>
            <w:vAlign w:val="center"/>
          </w:tcPr>
          <w:p>
            <w:pPr>
              <w:pStyle w:val="TableContents"/>
              <w:bidi w:val="0"/>
              <w:spacing w:before="0" w:after="283"/>
              <w:jc w:val="both"/>
              <w:rPr/>
            </w:pPr>
            <w:r>
              <w:rPr/>
              <w:t>Operating lease liabilities – current</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62" w:type="dxa"/>
            <w:tcBorders>
              <w:bottom w:val="single" w:sz="8" w:space="0" w:color="000000"/>
            </w:tcBorders>
            <w:shd w:fill="CCEEFF" w:val="clear"/>
            <w:tcMar>
              <w:bottom w:w="28" w:type="dxa"/>
            </w:tcMar>
            <w:vAlign w:val="center"/>
          </w:tcPr>
          <w:p>
            <w:pPr>
              <w:pStyle w:val="TableContents"/>
              <w:bidi w:val="0"/>
              <w:spacing w:before="0" w:after="283"/>
              <w:jc w:val="right"/>
              <w:rPr/>
            </w:pPr>
            <w:r>
              <w:rPr/>
              <w:t>28</w:t>
            </w:r>
          </w:p>
        </w:tc>
        <w:tc>
          <w:tcPr>
            <w:tcW w:w="15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94" w:name="xdx_8A6_zVot1qG9yVN7"/>
      <w:bookmarkEnd w:id="494"/>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95" w:name="xdx_80B_eus-gaap--AccountsPayableAndAccr"/>
      <w:bookmarkEnd w:id="495"/>
      <w:r>
        <w:rPr>
          <w:rFonts w:ascii="Times New Roman;Times;Serif" w:hAnsi="Times New Roman;Times;Serif"/>
          <w:b/>
          <w:i w:val="false"/>
          <w:caps w:val="false"/>
          <w:smallCaps w:val="false"/>
          <w:sz w:val="20"/>
        </w:rPr>
        <w:t xml:space="preserve">Note 9 - </w:t>
      </w:r>
      <w:bookmarkStart w:id="496" w:name="xdx_82D_zOZ9IwHNOJLc"/>
      <w:bookmarkEnd w:id="496"/>
      <w:r>
        <w:rPr>
          <w:rFonts w:ascii="Times New Roman;Times;Serif" w:hAnsi="Times New Roman;Times;Serif"/>
          <w:b/>
          <w:i w:val="false"/>
          <w:caps w:val="false"/>
          <w:smallCaps w:val="false"/>
          <w:sz w:val="20"/>
        </w:rPr>
        <w:t>Accounts payable and accrued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97" w:name="xdx_89C_eus-gaap--ScheduleOfAccountsPaya"/>
      <w:bookmarkEnd w:id="497"/>
      <w:r>
        <w:rPr>
          <w:rFonts w:ascii="Times New Roman;Times;Serif" w:hAnsi="Times New Roman;Times;Serif"/>
          <w:b w:val="false"/>
          <w:i w:val="false"/>
          <w:caps w:val="false"/>
          <w:smallCaps w:val="false"/>
          <w:sz w:val="20"/>
        </w:rPr>
        <w:t>At December 31, 2025 and June 30, 2026, accounts payable and accrued liabilities consisted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bookmarkStart w:id="498" w:name="xdx_8BD_zktss1MBDqmh"/>
      <w:bookmarkEnd w:id="498"/>
      <w:r>
        <w:rPr>
          <w:rFonts w:ascii="Times New Roman;Times;Serif" w:hAnsi="Times New Roman;Times;Serif"/>
          <w:b w:val="false"/>
          <w:i w:val="false"/>
          <w:caps w:val="false"/>
          <w:smallCaps w:val="false"/>
          <w:sz w:val="20"/>
        </w:rPr>
        <w:t>Schedule of accounts payables and accrued liabilities</w:t>
      </w:r>
    </w:p>
    <w:tbl>
      <w:tblPr>
        <w:tblW w:w="5563" w:type="dxa"/>
        <w:jc w:val="left"/>
        <w:tblInd w:w="0" w:type="dxa"/>
        <w:tblLayout w:type="fixed"/>
        <w:tblCellMar>
          <w:top w:w="0" w:type="dxa"/>
          <w:left w:w="0" w:type="dxa"/>
          <w:bottom w:w="0" w:type="dxa"/>
          <w:right w:w="0" w:type="dxa"/>
        </w:tblCellMar>
      </w:tblPr>
      <w:tblGrid>
        <w:gridCol w:w="3410"/>
        <w:gridCol w:w="60"/>
        <w:gridCol w:w="112"/>
        <w:gridCol w:w="1062"/>
        <w:gridCol w:w="60"/>
        <w:gridCol w:w="60"/>
        <w:gridCol w:w="98"/>
        <w:gridCol w:w="626"/>
        <w:gridCol w:w="75"/>
      </w:tblGrid>
      <w:tr>
        <w:trPr/>
        <w:tc>
          <w:tcPr>
            <w:tcW w:w="3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99" w:name="xdx_491_20251231_zL94Itbw62R2"/>
            <w:bookmarkEnd w:id="499"/>
          </w:p>
        </w:tc>
        <w:tc>
          <w:tcPr>
            <w:tcW w:w="117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0" w:name="xdx_49D_20260630_zdqVN9GZ8pj6"/>
            <w:bookmarkEnd w:id="500"/>
          </w:p>
        </w:tc>
        <w:tc>
          <w:tcPr>
            <w:tcW w:w="72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b/>
              </w:rPr>
            </w:pPr>
            <w:r>
              <w:rPr>
                <w:b/>
              </w:rPr>
              <w:t>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4" w:type="dxa"/>
            <w:gridSpan w:val="2"/>
            <w:tcBorders/>
            <w:vAlign w:val="center"/>
          </w:tcPr>
          <w:p>
            <w:pPr>
              <w:pStyle w:val="TableContents"/>
              <w:bidi w:val="0"/>
              <w:spacing w:before="0" w:after="283"/>
              <w:jc w:val="center"/>
              <w:rPr>
                <w:b/>
              </w:rPr>
            </w:pPr>
            <w:r>
              <w:rPr>
                <w:b/>
              </w:rPr>
              <w:t>S$’000</w:t>
            </w:r>
          </w:p>
        </w:tc>
        <w:tc>
          <w:tcPr>
            <w:tcW w:w="75" w:type="dxa"/>
            <w:tcBorders/>
            <w:vAlign w:val="center"/>
          </w:tcPr>
          <w:p>
            <w:pPr>
              <w:pStyle w:val="TableContents"/>
              <w:bidi w:val="0"/>
              <w:spacing w:before="0" w:after="283"/>
              <w:jc w:val="left"/>
              <w:rPr/>
            </w:pPr>
            <w:r>
              <w:rPr/>
              <w:t> </w:t>
            </w:r>
            <w:bookmarkStart w:id="501" w:name="xdx_408_eus-gaap--AccountsPayableCurrent"/>
            <w:bookmarkEnd w:id="501"/>
          </w:p>
        </w:tc>
      </w:tr>
      <w:tr>
        <w:trPr/>
        <w:tc>
          <w:tcPr>
            <w:tcW w:w="3410" w:type="dxa"/>
            <w:tcBorders/>
            <w:shd w:fill="CCEEFF" w:val="clear"/>
            <w:vAlign w:val="center"/>
          </w:tcPr>
          <w:p>
            <w:pPr>
              <w:pStyle w:val="TableContents"/>
              <w:bidi w:val="0"/>
              <w:spacing w:before="0" w:after="283"/>
              <w:jc w:val="both"/>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34</w:t>
            </w:r>
          </w:p>
        </w:tc>
        <w:tc>
          <w:tcPr>
            <w:tcW w:w="75" w:type="dxa"/>
            <w:tcBorders/>
            <w:shd w:fill="CCEEFF" w:val="clear"/>
            <w:vAlign w:val="center"/>
          </w:tcPr>
          <w:p>
            <w:pPr>
              <w:pStyle w:val="TableContents"/>
              <w:bidi w:val="0"/>
              <w:spacing w:before="0" w:after="283"/>
              <w:jc w:val="left"/>
              <w:rPr/>
            </w:pPr>
            <w:r>
              <w:rPr/>
              <w:t> </w:t>
            </w:r>
            <w:bookmarkStart w:id="502" w:name="xdx_405_eus-gaap--AccountsPayableOtherCu"/>
            <w:bookmarkEnd w:id="502"/>
          </w:p>
        </w:tc>
      </w:tr>
      <w:tr>
        <w:trPr/>
        <w:tc>
          <w:tcPr>
            <w:tcW w:w="3410" w:type="dxa"/>
            <w:tcBorders/>
            <w:shd w:fill="FFFFFF" w:val="clear"/>
            <w:vAlign w:val="center"/>
          </w:tcPr>
          <w:p>
            <w:pPr>
              <w:pStyle w:val="TableContents"/>
              <w:bidi w:val="0"/>
              <w:spacing w:before="0" w:after="283"/>
              <w:jc w:val="both"/>
              <w:rPr/>
            </w:pPr>
            <w:r>
              <w:rPr/>
              <w:t>Other payables</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590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pPr>
            <w:r>
              <w:rPr/>
              <w:t>176</w:t>
            </w:r>
          </w:p>
        </w:tc>
        <w:tc>
          <w:tcPr>
            <w:tcW w:w="75" w:type="dxa"/>
            <w:tcBorders/>
            <w:shd w:fill="FFFFFF" w:val="clear"/>
            <w:vAlign w:val="center"/>
          </w:tcPr>
          <w:p>
            <w:pPr>
              <w:pStyle w:val="TableContents"/>
              <w:bidi w:val="0"/>
              <w:spacing w:before="0" w:after="283"/>
              <w:jc w:val="left"/>
              <w:rPr/>
            </w:pPr>
            <w:r>
              <w:rPr/>
              <w:t> </w:t>
            </w:r>
            <w:bookmarkStart w:id="503" w:name="xdx_40D_eus-gaap--AccruedLiabilitiesCurr"/>
            <w:bookmarkEnd w:id="503"/>
          </w:p>
        </w:tc>
      </w:tr>
      <w:tr>
        <w:trPr/>
        <w:tc>
          <w:tcPr>
            <w:tcW w:w="3410" w:type="dxa"/>
            <w:tcBorders/>
            <w:shd w:fill="CCEEFF" w:val="clear"/>
            <w:vAlign w:val="center"/>
          </w:tcPr>
          <w:p>
            <w:pPr>
              <w:pStyle w:val="TableContents"/>
              <w:bidi w:val="0"/>
              <w:spacing w:before="0" w:after="283"/>
              <w:jc w:val="both"/>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93</w:t>
            </w:r>
          </w:p>
        </w:tc>
        <w:tc>
          <w:tcPr>
            <w:tcW w:w="75" w:type="dxa"/>
            <w:tcBorders/>
            <w:shd w:fill="CCEEFF" w:val="clear"/>
            <w:vAlign w:val="center"/>
          </w:tcPr>
          <w:p>
            <w:pPr>
              <w:pStyle w:val="TableContents"/>
              <w:bidi w:val="0"/>
              <w:spacing w:before="0" w:after="283"/>
              <w:jc w:val="left"/>
              <w:rPr/>
            </w:pPr>
            <w:r>
              <w:rPr/>
              <w:t> </w:t>
            </w:r>
            <w:bookmarkStart w:id="504" w:name="xdx_40C_eus-gaap--Deposits_iI_pn3n3_maAP"/>
            <w:bookmarkEnd w:id="504"/>
          </w:p>
        </w:tc>
      </w:tr>
      <w:tr>
        <w:trPr/>
        <w:tc>
          <w:tcPr>
            <w:tcW w:w="3410" w:type="dxa"/>
            <w:tcBorders/>
            <w:shd w:fill="FFFFFF" w:val="clear"/>
            <w:vAlign w:val="center"/>
          </w:tcPr>
          <w:p>
            <w:pPr>
              <w:pStyle w:val="TableContents"/>
              <w:bidi w:val="0"/>
              <w:spacing w:before="0" w:after="283"/>
              <w:jc w:val="both"/>
              <w:rPr/>
            </w:pPr>
            <w:r>
              <w:rPr/>
              <w:t>Deposits received</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pPr>
            <w:r>
              <w:rPr/>
              <w:t>99</w:t>
            </w:r>
          </w:p>
        </w:tc>
        <w:tc>
          <w:tcPr>
            <w:tcW w:w="75" w:type="dxa"/>
            <w:tcBorders/>
            <w:shd w:fill="FFFFFF" w:val="clear"/>
            <w:vAlign w:val="center"/>
          </w:tcPr>
          <w:p>
            <w:pPr>
              <w:pStyle w:val="TableContents"/>
              <w:bidi w:val="0"/>
              <w:spacing w:before="0" w:after="283"/>
              <w:jc w:val="left"/>
              <w:rPr/>
            </w:pPr>
            <w:r>
              <w:rPr/>
              <w:t> </w:t>
            </w:r>
            <w:bookmarkStart w:id="505" w:name="xdx_408_eus-gaap--DeferredRevenue_iI_pn3"/>
            <w:bookmarkEnd w:id="505"/>
          </w:p>
        </w:tc>
      </w:tr>
      <w:tr>
        <w:trPr/>
        <w:tc>
          <w:tcPr>
            <w:tcW w:w="3410" w:type="dxa"/>
            <w:tcBorders/>
            <w:shd w:fill="CCEEFF" w:val="clear"/>
            <w:vAlign w:val="center"/>
          </w:tcPr>
          <w:p>
            <w:pPr>
              <w:pStyle w:val="TableContents"/>
              <w:bidi w:val="0"/>
              <w:spacing w:before="0" w:after="283"/>
              <w:jc w:val="both"/>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8" w:space="0" w:color="000000"/>
            </w:tcBorders>
            <w:shd w:fill="CCEEFF" w:val="clear"/>
            <w:tcMar>
              <w:bottom w:w="28" w:type="dxa"/>
            </w:tcMar>
            <w:vAlign w:val="center"/>
          </w:tcPr>
          <w:p>
            <w:pPr>
              <w:pStyle w:val="TableContents"/>
              <w:bidi w:val="0"/>
              <w:spacing w:before="0" w:after="283"/>
              <w:jc w:val="right"/>
              <w:rPr/>
            </w:pPr>
            <w:r>
              <w:rPr/>
              <w:t>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6" w:type="dxa"/>
            <w:tcBorders>
              <w:bottom w:val="single" w:sz="8" w:space="0" w:color="000000"/>
            </w:tcBorders>
            <w:shd w:fill="CCEEFF" w:val="clear"/>
            <w:tcMar>
              <w:bottom w:w="28" w:type="dxa"/>
            </w:tcMar>
            <w:vAlign w:val="center"/>
          </w:tcPr>
          <w:p>
            <w:pPr>
              <w:pStyle w:val="TableContents"/>
              <w:bidi w:val="0"/>
              <w:spacing w:before="0" w:after="283"/>
              <w:jc w:val="right"/>
              <w:rPr/>
            </w:pPr>
            <w:r>
              <w:rPr/>
              <w:t>400</w:t>
            </w:r>
          </w:p>
        </w:tc>
        <w:tc>
          <w:tcPr>
            <w:tcW w:w="75" w:type="dxa"/>
            <w:tcBorders/>
            <w:shd w:fill="CCEEFF" w:val="clear"/>
            <w:vAlign w:val="center"/>
          </w:tcPr>
          <w:p>
            <w:pPr>
              <w:pStyle w:val="TableContents"/>
              <w:bidi w:val="0"/>
              <w:spacing w:before="0" w:after="283"/>
              <w:jc w:val="left"/>
              <w:rPr/>
            </w:pPr>
            <w:r>
              <w:rPr/>
              <w:t> </w:t>
            </w:r>
            <w:bookmarkStart w:id="506" w:name="xdx_40B_eus-gaap--AccountsPayableAndAccr"/>
            <w:bookmarkEnd w:id="506"/>
          </w:p>
        </w:tc>
      </w:tr>
      <w:tr>
        <w:trPr/>
        <w:tc>
          <w:tcPr>
            <w:tcW w:w="341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Accounts payables and accrued liabilities</w:t>
            </w:r>
          </w:p>
        </w:tc>
        <w:tc>
          <w:tcPr>
            <w:tcW w:w="60" w:type="dxa"/>
            <w:tcBorders/>
            <w:shd w:fill="FFFFFF" w:val="clear"/>
            <w:vAlign w:val="center"/>
          </w:tcPr>
          <w:p>
            <w:pPr>
              <w:pStyle w:val="TableContents"/>
              <w:bidi w:val="0"/>
              <w:spacing w:before="0" w:after="283"/>
              <w:jc w:val="left"/>
              <w:rPr/>
            </w:pPr>
            <w:r>
              <w:rPr/>
              <w:t> </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8" w:space="0" w:color="000000"/>
            </w:tcBorders>
            <w:shd w:fill="FFFFFF" w:val="clear"/>
            <w:tcMar>
              <w:bottom w:w="28" w:type="dxa"/>
            </w:tcMar>
            <w:vAlign w:val="center"/>
          </w:tcPr>
          <w:p>
            <w:pPr>
              <w:pStyle w:val="TableContents"/>
              <w:bidi w:val="0"/>
              <w:spacing w:before="0" w:after="283"/>
              <w:jc w:val="right"/>
              <w:rPr/>
            </w:pPr>
            <w:r>
              <w:rPr/>
              <w:t>1,274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6" w:type="dxa"/>
            <w:tcBorders>
              <w:bottom w:val="single" w:sz="8" w:space="0" w:color="000000"/>
            </w:tcBorders>
            <w:shd w:fill="FFFFFF" w:val="clear"/>
            <w:tcMar>
              <w:bottom w:w="28" w:type="dxa"/>
            </w:tcMar>
            <w:vAlign w:val="center"/>
          </w:tcPr>
          <w:p>
            <w:pPr>
              <w:pStyle w:val="TableContents"/>
              <w:bidi w:val="0"/>
              <w:spacing w:before="0" w:after="283"/>
              <w:jc w:val="right"/>
              <w:rPr/>
            </w:pPr>
            <w:r>
              <w:rPr/>
              <w:t>802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07" w:name="xdx_8A6_zuoJNwwNAKv9"/>
      <w:bookmarkEnd w:id="50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payables comprise non-trade obligations, including wages payable and goods and services tax (“GST”) payable. These amounts are presented as current liabilities as they are expected to be settled within one year of the reporting date.</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is a contract liability that the Company is obligated to transfer services to customers for which the Company has received advance swimming fees from customers in the form of cash. The balance of “deferred revenue” represents unfulfilled performance obligations in the sales agreement, i.e. services that have not yet been rendered. Once the service has been rendered, the amount in “deferred revenue” account is shifted to a revenue account.</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08" w:name="xdx_807_eus-gaap--DebtDisclosureTextBloc"/>
      <w:bookmarkEnd w:id="508"/>
      <w:r>
        <w:rPr>
          <w:rFonts w:ascii="Times New Roman;Times;Serif" w:hAnsi="Times New Roman;Times;Serif"/>
          <w:b/>
          <w:i w:val="false"/>
          <w:caps w:val="false"/>
          <w:smallCaps w:val="false"/>
          <w:sz w:val="20"/>
        </w:rPr>
        <w:t xml:space="preserve">Note 10 - </w:t>
      </w:r>
      <w:bookmarkStart w:id="509" w:name="xdx_82E_zfJduYIOWreb"/>
      <w:bookmarkEnd w:id="509"/>
      <w:r>
        <w:rPr>
          <w:rFonts w:ascii="Times New Roman;Times;Serif" w:hAnsi="Times New Roman;Times;Serif"/>
          <w:b/>
          <w:i w:val="false"/>
          <w:caps w:val="false"/>
          <w:smallCaps w:val="false"/>
          <w:sz w:val="20"/>
        </w:rPr>
        <w:t>Bank borrowings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10" w:name="xdx_89A_eus-gaap--ScheduleOfDebtTableTex"/>
      <w:bookmarkEnd w:id="510"/>
      <w:r>
        <w:rPr>
          <w:rFonts w:ascii="Times New Roman;Times;Serif" w:hAnsi="Times New Roman;Times;Serif"/>
          <w:b w:val="false"/>
          <w:i w:val="false"/>
          <w:caps w:val="false"/>
          <w:smallCaps w:val="false"/>
          <w:sz w:val="20"/>
        </w:rPr>
        <w:t>At December 31, 2025 and June 30, 2026, bank borrowings consisted of the following: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11" w:name="xdx_8B5_zyn08IK1shV3"/>
      <w:bookmarkEnd w:id="511"/>
      <w:r>
        <w:rPr>
          <w:rFonts w:ascii="Times New Roman;Times;Serif" w:hAnsi="Times New Roman;Times;Serif"/>
          <w:b w:val="false"/>
          <w:i w:val="false"/>
          <w:caps w:val="false"/>
          <w:smallCaps w:val="false"/>
          <w:sz w:val="20"/>
        </w:rPr>
        <w:t>Schedule of bank borrowings </w:t>
      </w:r>
    </w:p>
    <w:tbl>
      <w:tblPr>
        <w:tblW w:w="9638" w:type="dxa"/>
        <w:jc w:val="left"/>
        <w:tblInd w:w="0" w:type="dxa"/>
        <w:tblLayout w:type="fixed"/>
        <w:tblCellMar>
          <w:top w:w="0" w:type="dxa"/>
          <w:left w:w="0" w:type="dxa"/>
          <w:bottom w:w="0" w:type="dxa"/>
          <w:right w:w="0" w:type="dxa"/>
        </w:tblCellMar>
      </w:tblPr>
      <w:tblGrid>
        <w:gridCol w:w="2300"/>
        <w:gridCol w:w="60"/>
        <w:gridCol w:w="60"/>
        <w:gridCol w:w="1400"/>
        <w:gridCol w:w="60"/>
        <w:gridCol w:w="60"/>
        <w:gridCol w:w="60"/>
        <w:gridCol w:w="3155"/>
        <w:gridCol w:w="60"/>
        <w:gridCol w:w="60"/>
        <w:gridCol w:w="178"/>
        <w:gridCol w:w="1176"/>
        <w:gridCol w:w="60"/>
        <w:gridCol w:w="60"/>
        <w:gridCol w:w="73"/>
        <w:gridCol w:w="741"/>
        <w:gridCol w:w="75"/>
      </w:tblGrid>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Term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5" w:type="dxa"/>
            <w:gridSpan w:val="2"/>
            <w:tcBorders/>
            <w:vAlign w:val="center"/>
          </w:tcPr>
          <w:p>
            <w:pPr>
              <w:pStyle w:val="TableContents"/>
              <w:bidi w:val="0"/>
              <w:spacing w:before="0" w:after="283"/>
              <w:jc w:val="center"/>
              <w:rPr/>
            </w:pPr>
            <w:r>
              <w:rPr/>
              <w:t>Annual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12" w:name="xdx_495_20251231_zOIABxE0ZgW1"/>
            <w:bookmarkEnd w:id="512"/>
          </w:p>
        </w:tc>
        <w:tc>
          <w:tcPr>
            <w:tcW w:w="1354"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13" w:name="xdx_496_20260630_zdBW0ALcMIo7"/>
            <w:bookmarkEnd w:id="513"/>
          </w:p>
        </w:tc>
        <w:tc>
          <w:tcPr>
            <w:tcW w:w="814" w:type="dxa"/>
            <w:gridSpan w:val="2"/>
            <w:tcBorders/>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pPr>
            <w:r>
              <w:rPr/>
              <w:t>repayments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5" w:type="dxa"/>
            <w:gridSpan w:val="2"/>
            <w:tcBorders>
              <w:bottom w:val="single" w:sz="8" w:space="0" w:color="000000"/>
            </w:tcBorders>
            <w:tcMar>
              <w:bottom w:w="28" w:type="dxa"/>
            </w:tcMar>
            <w:vAlign w:val="center"/>
          </w:tcPr>
          <w:p>
            <w:pPr>
              <w:pStyle w:val="TableContents"/>
              <w:bidi w:val="0"/>
              <w:spacing w:before="0" w:after="283"/>
              <w:jc w:val="center"/>
              <w:rPr/>
            </w:pPr>
            <w:r>
              <w:rPr/>
              <w:t>interest rate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2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S$’000</w:t>
            </w:r>
          </w:p>
        </w:tc>
        <w:tc>
          <w:tcPr>
            <w:tcW w:w="75" w:type="dxa"/>
            <w:tcBorders/>
            <w:shd w:fill="FFFFFF" w:val="clear"/>
            <w:vAlign w:val="center"/>
          </w:tcPr>
          <w:p>
            <w:pPr>
              <w:pStyle w:val="TableContents"/>
              <w:bidi w:val="0"/>
              <w:spacing w:before="0" w:after="283"/>
              <w:jc w:val="left"/>
              <w:rPr/>
            </w:pPr>
            <w:r>
              <w:rPr/>
              <w:t> </w:t>
            </w:r>
            <w:bookmarkStart w:id="514" w:name="xdx_407_eus-gaap--LoansPayable_iI_pn3n3_"/>
            <w:bookmarkEnd w:id="514"/>
          </w:p>
        </w:tc>
      </w:tr>
      <w:tr>
        <w:trPr/>
        <w:tc>
          <w:tcPr>
            <w:tcW w:w="2300" w:type="dxa"/>
            <w:tcBorders/>
            <w:shd w:fill="CCEEFF" w:val="clear"/>
            <w:vAlign w:val="center"/>
          </w:tcPr>
          <w:p>
            <w:pPr>
              <w:pStyle w:val="TableContents"/>
              <w:bidi w:val="0"/>
              <w:spacing w:before="0" w:after="283"/>
              <w:jc w:val="left"/>
              <w:rPr/>
            </w:pPr>
            <w:r>
              <w:rPr/>
              <w:t xml:space="preserve">Property loan (secured)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Within </w:t>
            </w:r>
            <w:bookmarkStart w:id="515" w:name="xdx_906_eus-gaap--LongTermDebtTerm_iI_dt"/>
            <w:bookmarkEnd w:id="515"/>
            <w:r>
              <w:rPr>
                <w:rFonts w:ascii="Times New Roman;Times;Serif" w:hAnsi="Times New Roman;Times;Serif"/>
                <w:sz w:val="20"/>
              </w:rPr>
              <w:t>27 years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5" w:type="dxa"/>
            <w:tcBorders/>
            <w:shd w:fill="CCEEFF" w:val="clear"/>
            <w:vAlign w:val="center"/>
          </w:tcPr>
          <w:p>
            <w:pPr>
              <w:pStyle w:val="TableContents"/>
              <w:bidi w:val="0"/>
              <w:spacing w:before="0" w:after="283"/>
              <w:jc w:val="center"/>
              <w:rPr>
                <w:rFonts w:ascii="Times New Roman;Times;Serif" w:hAnsi="Times New Roman;Times;Serif"/>
                <w:sz w:val="20"/>
              </w:rPr>
            </w:pPr>
            <w:bookmarkStart w:id="516" w:name="xdx_90B_eus-gaap--DebtInstrumentInterest"/>
            <w:bookmarkEnd w:id="516"/>
            <w:r>
              <w:rPr>
                <w:rFonts w:ascii="Times New Roman;Times;Serif" w:hAnsi="Times New Roman;Times;Serif"/>
                <w:sz w:val="20"/>
              </w:rPr>
              <w:t xml:space="preserve">3.75% (Dec 2025) </w:t>
            </w:r>
            <w:bookmarkStart w:id="517" w:name="xdx_90A_eus-gaap--DebtInstrumentInterest"/>
            <w:bookmarkEnd w:id="517"/>
            <w:r>
              <w:rPr>
                <w:rFonts w:ascii="Times New Roman;Times;Serif" w:hAnsi="Times New Roman;Times;Serif"/>
                <w:sz w:val="20"/>
              </w:rPr>
              <w:t>1.45% (June 2026)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CCEEFF" w:val="clear"/>
            <w:tcMar>
              <w:bottom w:w="28" w:type="dxa"/>
            </w:tcMar>
            <w:vAlign w:val="center"/>
          </w:tcPr>
          <w:p>
            <w:pPr>
              <w:pStyle w:val="TableContents"/>
              <w:bidi w:val="0"/>
              <w:spacing w:before="0" w:after="283"/>
              <w:jc w:val="right"/>
              <w:rPr/>
            </w:pPr>
            <w:r>
              <w:rPr/>
              <w:t>398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1" w:type="dxa"/>
            <w:tcBorders>
              <w:bottom w:val="single" w:sz="8" w:space="0" w:color="000000"/>
            </w:tcBorders>
            <w:shd w:fill="CCEEFF" w:val="clear"/>
            <w:tcMar>
              <w:bottom w:w="28" w:type="dxa"/>
            </w:tcMar>
            <w:vAlign w:val="center"/>
          </w:tcPr>
          <w:p>
            <w:pPr>
              <w:pStyle w:val="TableContents"/>
              <w:bidi w:val="0"/>
              <w:spacing w:before="0" w:after="283"/>
              <w:jc w:val="right"/>
              <w:rPr/>
            </w:pPr>
            <w:r>
              <w:rPr/>
              <w:t>392</w:t>
            </w:r>
          </w:p>
        </w:tc>
        <w:tc>
          <w:tcPr>
            <w:tcW w:w="75" w:type="dxa"/>
            <w:tcBorders/>
            <w:shd w:fill="CCEEFF" w:val="clear"/>
            <w:vAlign w:val="center"/>
          </w:tcPr>
          <w:p>
            <w:pPr>
              <w:pStyle w:val="TableContents"/>
              <w:bidi w:val="0"/>
              <w:spacing w:before="0" w:after="283"/>
              <w:jc w:val="left"/>
              <w:rPr/>
            </w:pPr>
            <w:r>
              <w:rPr/>
              <w:t> </w:t>
            </w:r>
            <w:bookmarkStart w:id="518" w:name="xdx_402_eus-gaap--LoansPayable_iI_pn3n3_"/>
            <w:bookmarkEnd w:id="518"/>
          </w:p>
        </w:tc>
      </w:tr>
      <w:tr>
        <w:trPr/>
        <w:tc>
          <w:tcPr>
            <w:tcW w:w="2300" w:type="dxa"/>
            <w:tcBorders/>
            <w:shd w:fill="FFFFFF" w:val="clear"/>
            <w:vAlign w:val="center"/>
          </w:tcPr>
          <w:p>
            <w:pPr>
              <w:pStyle w:val="TableContents"/>
              <w:bidi w:val="0"/>
              <w:spacing w:before="0" w:after="283"/>
              <w:jc w:val="left"/>
              <w:rPr/>
            </w:pPr>
            <w:r>
              <w:rPr/>
              <w:t xml:space="preserve">Total: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FFFFFF" w:val="clear"/>
            <w:tcMar>
              <w:bottom w:w="28" w:type="dxa"/>
            </w:tcMar>
            <w:vAlign w:val="center"/>
          </w:tcPr>
          <w:p>
            <w:pPr>
              <w:pStyle w:val="TableContents"/>
              <w:bidi w:val="0"/>
              <w:spacing w:before="0" w:after="283"/>
              <w:jc w:val="right"/>
              <w:rPr/>
            </w:pPr>
            <w:r>
              <w:rPr/>
              <w:t>398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1" w:type="dxa"/>
            <w:tcBorders>
              <w:bottom w:val="single" w:sz="8" w:space="0" w:color="000000"/>
            </w:tcBorders>
            <w:shd w:fill="FFFFFF" w:val="clear"/>
            <w:tcMar>
              <w:bottom w:w="28" w:type="dxa"/>
            </w:tcMar>
            <w:vAlign w:val="center"/>
          </w:tcPr>
          <w:p>
            <w:pPr>
              <w:pStyle w:val="TableContents"/>
              <w:bidi w:val="0"/>
              <w:spacing w:before="0" w:after="283"/>
              <w:jc w:val="right"/>
              <w:rPr/>
            </w:pPr>
            <w:r>
              <w:rPr/>
              <w:t>392</w:t>
            </w:r>
          </w:p>
        </w:tc>
        <w:tc>
          <w:tcPr>
            <w:tcW w:w="75" w:type="dxa"/>
            <w:tcBorders/>
            <w:shd w:fill="FFFFFF" w:val="clear"/>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shd w:fill="FFFFFF" w:val="clear"/>
            <w:vAlign w:val="center"/>
          </w:tcPr>
          <w:p>
            <w:pPr>
              <w:pStyle w:val="TableContents"/>
              <w:bidi w:val="0"/>
              <w:spacing w:before="0" w:after="283"/>
              <w:jc w:val="left"/>
              <w:rPr/>
            </w:pPr>
            <w:r>
              <w:rPr/>
              <w:t xml:space="preserve">Representing: -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519" w:name="xdx_40F_eus-gaap--LongTermDebtMaturities"/>
            <w:bookmarkEnd w:id="519"/>
          </w:p>
        </w:tc>
      </w:tr>
      <w:tr>
        <w:trPr/>
        <w:tc>
          <w:tcPr>
            <w:tcW w:w="2300" w:type="dxa"/>
            <w:tcBorders/>
            <w:shd w:fill="CCEEFF" w:val="clear"/>
            <w:vAlign w:val="center"/>
          </w:tcPr>
          <w:p>
            <w:pPr>
              <w:pStyle w:val="TableContents"/>
              <w:bidi w:val="0"/>
              <w:spacing w:before="0" w:after="283"/>
              <w:jc w:val="left"/>
              <w:rPr/>
            </w:pPr>
            <w:r>
              <w:rPr/>
              <w:t xml:space="preserve">Within 12 months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right"/>
              <w:rPr/>
            </w:pPr>
            <w:r>
              <w:rPr/>
              <w:t>11</w:t>
            </w:r>
          </w:p>
        </w:tc>
        <w:tc>
          <w:tcPr>
            <w:tcW w:w="75" w:type="dxa"/>
            <w:tcBorders/>
            <w:shd w:fill="CCEEFF" w:val="clear"/>
            <w:vAlign w:val="center"/>
          </w:tcPr>
          <w:p>
            <w:pPr>
              <w:pStyle w:val="TableContents"/>
              <w:bidi w:val="0"/>
              <w:spacing w:before="0" w:after="283"/>
              <w:jc w:val="left"/>
              <w:rPr/>
            </w:pPr>
            <w:r>
              <w:rPr/>
              <w:t> </w:t>
            </w:r>
            <w:bookmarkStart w:id="520" w:name="xdx_409_eus-gaap--LongTermDebtMaturingIn"/>
            <w:bookmarkEnd w:id="520"/>
          </w:p>
        </w:tc>
      </w:tr>
      <w:tr>
        <w:trPr/>
        <w:tc>
          <w:tcPr>
            <w:tcW w:w="2300" w:type="dxa"/>
            <w:tcBorders/>
            <w:shd w:fill="FFFFFF" w:val="clear"/>
            <w:vAlign w:val="center"/>
          </w:tcPr>
          <w:p>
            <w:pPr>
              <w:pStyle w:val="TableContents"/>
              <w:bidi w:val="0"/>
              <w:spacing w:before="0" w:after="283"/>
              <w:jc w:val="left"/>
              <w:rPr/>
            </w:pPr>
            <w:r>
              <w:rPr/>
              <w:t xml:space="preserve">Between 2 – 3 years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pPr>
            <w:r>
              <w:rPr/>
              <w:t>30</w:t>
            </w:r>
          </w:p>
        </w:tc>
        <w:tc>
          <w:tcPr>
            <w:tcW w:w="75" w:type="dxa"/>
            <w:tcBorders/>
            <w:shd w:fill="FFFFFF" w:val="clear"/>
            <w:vAlign w:val="center"/>
          </w:tcPr>
          <w:p>
            <w:pPr>
              <w:pStyle w:val="TableContents"/>
              <w:bidi w:val="0"/>
              <w:spacing w:before="0" w:after="283"/>
              <w:jc w:val="left"/>
              <w:rPr/>
            </w:pPr>
            <w:r>
              <w:rPr/>
              <w:t> </w:t>
            </w:r>
            <w:bookmarkStart w:id="521" w:name="xdx_402_ecustom--LongTermDebtMaturingInY"/>
            <w:bookmarkEnd w:id="521"/>
          </w:p>
        </w:tc>
      </w:tr>
      <w:tr>
        <w:trPr/>
        <w:tc>
          <w:tcPr>
            <w:tcW w:w="2300" w:type="dxa"/>
            <w:tcBorders/>
            <w:shd w:fill="CCEEFF" w:val="clear"/>
            <w:vAlign w:val="center"/>
          </w:tcPr>
          <w:p>
            <w:pPr>
              <w:pStyle w:val="TableContents"/>
              <w:bidi w:val="0"/>
              <w:spacing w:before="0" w:after="283"/>
              <w:jc w:val="left"/>
              <w:rPr/>
            </w:pPr>
            <w:r>
              <w:rPr/>
              <w:t xml:space="preserve">Over 3 – 5 years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right"/>
              <w:rPr/>
            </w:pPr>
            <w:r>
              <w:rPr/>
              <w:t>29</w:t>
            </w:r>
          </w:p>
        </w:tc>
        <w:tc>
          <w:tcPr>
            <w:tcW w:w="75" w:type="dxa"/>
            <w:tcBorders/>
            <w:shd w:fill="CCEEFF" w:val="clear"/>
            <w:vAlign w:val="center"/>
          </w:tcPr>
          <w:p>
            <w:pPr>
              <w:pStyle w:val="TableContents"/>
              <w:bidi w:val="0"/>
              <w:spacing w:before="0" w:after="283"/>
              <w:jc w:val="left"/>
              <w:rPr/>
            </w:pPr>
            <w:r>
              <w:rPr/>
              <w:t> </w:t>
            </w:r>
            <w:bookmarkStart w:id="522" w:name="xdx_404_eus-gaap--LongTermDebtMaturities"/>
            <w:bookmarkEnd w:id="522"/>
          </w:p>
        </w:tc>
      </w:tr>
      <w:tr>
        <w:trPr/>
        <w:tc>
          <w:tcPr>
            <w:tcW w:w="2300" w:type="dxa"/>
            <w:tcBorders/>
            <w:shd w:fill="FFFFFF" w:val="clear"/>
            <w:vAlign w:val="center"/>
          </w:tcPr>
          <w:p>
            <w:pPr>
              <w:pStyle w:val="TableContents"/>
              <w:bidi w:val="0"/>
              <w:spacing w:before="0" w:after="283"/>
              <w:jc w:val="left"/>
              <w:rPr/>
            </w:pPr>
            <w:r>
              <w:rPr/>
              <w:t xml:space="preserve">Over 5 years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FFFFFF" w:val="clear"/>
            <w:tcMar>
              <w:bottom w:w="28" w:type="dxa"/>
            </w:tcMar>
            <w:vAlign w:val="center"/>
          </w:tcPr>
          <w:p>
            <w:pPr>
              <w:pStyle w:val="TableContents"/>
              <w:bidi w:val="0"/>
              <w:spacing w:before="0" w:after="283"/>
              <w:jc w:val="right"/>
              <w:rPr/>
            </w:pPr>
            <w:r>
              <w:rPr/>
              <w:t>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1" w:type="dxa"/>
            <w:tcBorders>
              <w:bottom w:val="single" w:sz="8" w:space="0" w:color="000000"/>
            </w:tcBorders>
            <w:shd w:fill="FFFFFF" w:val="clear"/>
            <w:tcMar>
              <w:bottom w:w="28" w:type="dxa"/>
            </w:tcMar>
            <w:vAlign w:val="center"/>
          </w:tcPr>
          <w:p>
            <w:pPr>
              <w:pStyle w:val="TableContents"/>
              <w:bidi w:val="0"/>
              <w:spacing w:before="0" w:after="283"/>
              <w:jc w:val="right"/>
              <w:rPr/>
            </w:pPr>
            <w:r>
              <w:rPr/>
              <w:t>322</w:t>
            </w:r>
          </w:p>
        </w:tc>
        <w:tc>
          <w:tcPr>
            <w:tcW w:w="75" w:type="dxa"/>
            <w:tcBorders/>
            <w:shd w:fill="FFFFFF" w:val="clear"/>
            <w:vAlign w:val="center"/>
          </w:tcPr>
          <w:p>
            <w:pPr>
              <w:pStyle w:val="TableContents"/>
              <w:bidi w:val="0"/>
              <w:spacing w:before="0" w:after="283"/>
              <w:jc w:val="left"/>
              <w:rPr/>
            </w:pPr>
            <w:r>
              <w:rPr/>
              <w:t> </w:t>
            </w:r>
            <w:bookmarkStart w:id="523" w:name="xdx_40B_eus-gaap--LongTermDebt_iTI_pn3n3"/>
            <w:bookmarkEnd w:id="523"/>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 term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CCEEFF" w:val="clear"/>
            <w:tcMar>
              <w:bottom w:w="28" w:type="dxa"/>
            </w:tcMar>
            <w:vAlign w:val="center"/>
          </w:tcPr>
          <w:p>
            <w:pPr>
              <w:pStyle w:val="TableContents"/>
              <w:bidi w:val="0"/>
              <w:spacing w:before="0" w:after="283"/>
              <w:jc w:val="right"/>
              <w:rPr/>
            </w:pPr>
            <w:r>
              <w:rPr/>
              <w:t>398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1" w:type="dxa"/>
            <w:tcBorders>
              <w:bottom w:val="single" w:sz="8" w:space="0" w:color="000000"/>
            </w:tcBorders>
            <w:shd w:fill="CCEEFF" w:val="clear"/>
            <w:tcMar>
              <w:bottom w:w="28" w:type="dxa"/>
            </w:tcMar>
            <w:vAlign w:val="center"/>
          </w:tcPr>
          <w:p>
            <w:pPr>
              <w:pStyle w:val="TableContents"/>
              <w:bidi w:val="0"/>
              <w:spacing w:before="0" w:after="283"/>
              <w:jc w:val="right"/>
              <w:rPr/>
            </w:pPr>
            <w:r>
              <w:rPr/>
              <w:t>392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24" w:name="xdx_8AF_znNgqQHRZWs7"/>
      <w:bookmarkEnd w:id="52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loan of S$</w:t>
      </w:r>
      <w:bookmarkStart w:id="525" w:name="xdx_90E_eus-gaap--UnsecuredDebt_iI_c2025"/>
      <w:bookmarkEnd w:id="525"/>
      <w:r>
        <w:rPr>
          <w:rFonts w:ascii="Times New Roman;Times;Serif" w:hAnsi="Times New Roman;Times;Serif"/>
          <w:b w:val="false"/>
          <w:i w:val="false"/>
          <w:caps w:val="false"/>
          <w:smallCaps w:val="false"/>
          <w:sz w:val="20"/>
        </w:rPr>
        <w:t xml:space="preserve">500,000 was an unsecured borrowing from OCBC bank in 2020 with an annual fixed interest rate of </w:t>
      </w:r>
      <w:bookmarkStart w:id="526" w:name="xdx_900_eus-gaap--LongTermDebtPercentage"/>
      <w:bookmarkEnd w:id="526"/>
      <w:r>
        <w:rPr>
          <w:rFonts w:ascii="Times New Roman;Times;Serif" w:hAnsi="Times New Roman;Times;Serif"/>
          <w:b w:val="false"/>
          <w:i w:val="false"/>
          <w:caps w:val="false"/>
          <w:smallCaps w:val="false"/>
          <w:sz w:val="20"/>
        </w:rPr>
        <w:t xml:space="preserve">2.5%. The loan is for a period of </w:t>
      </w:r>
      <w:bookmarkStart w:id="527" w:name="xdx_907_eus-gaap--LongTermDebtTerm_iI_dt"/>
      <w:bookmarkEnd w:id="527"/>
      <w:r>
        <w:rPr>
          <w:rFonts w:ascii="Times New Roman;Times;Serif" w:hAnsi="Times New Roman;Times;Serif"/>
          <w:b w:val="false"/>
          <w:i w:val="false"/>
          <w:caps w:val="false"/>
          <w:smallCaps w:val="false"/>
          <w:sz w:val="20"/>
        </w:rPr>
        <w:t>5 years up to 2025. This amount was used to finance the expansion of the business. The term loan has matured in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Mortgage loan of S$</w:t>
      </w:r>
      <w:bookmarkStart w:id="528" w:name="xdx_90A_eus-gaap--SecuredDebt_iI_c202512"/>
      <w:bookmarkEnd w:id="528"/>
      <w:r>
        <w:rPr>
          <w:rFonts w:ascii="Times New Roman;Times;Serif" w:hAnsi="Times New Roman;Times;Serif"/>
          <w:b w:val="false"/>
          <w:i w:val="false"/>
          <w:caps w:val="false"/>
          <w:smallCaps w:val="false"/>
          <w:sz w:val="20"/>
        </w:rPr>
        <w:t xml:space="preserve">420,000 was a secured borrowing from OCBC bank in 2023. The loan is for a period of </w:t>
      </w:r>
      <w:bookmarkStart w:id="529" w:name="xdx_909_eus-gaap--LongTermDebtTerm_iI_dt"/>
      <w:bookmarkEnd w:id="529"/>
      <w:r>
        <w:rPr>
          <w:rFonts w:ascii="Times New Roman;Times;Serif" w:hAnsi="Times New Roman;Times;Serif"/>
          <w:b w:val="false"/>
          <w:i w:val="false"/>
          <w:caps w:val="false"/>
          <w:smallCaps w:val="false"/>
          <w:sz w:val="20"/>
        </w:rPr>
        <w:t xml:space="preserve">27 years up to 2050 with an annual variable interest rate of </w:t>
      </w:r>
      <w:bookmarkStart w:id="530" w:name="xdx_90B_ecustom--AnnualVariableInterestR"/>
      <w:bookmarkEnd w:id="530"/>
      <w:r>
        <w:rPr>
          <w:rFonts w:ascii="Times New Roman;Times;Serif" w:hAnsi="Times New Roman;Times;Serif"/>
          <w:b w:val="false"/>
          <w:i w:val="false"/>
          <w:caps w:val="false"/>
          <w:smallCaps w:val="false"/>
          <w:sz w:val="20"/>
        </w:rPr>
        <w:t xml:space="preserve">4.82%. The variable interest rate has been revised to </w:t>
      </w:r>
      <w:bookmarkStart w:id="531" w:name="xdx_903_ecustom--AnnualVariableInterestR"/>
      <w:bookmarkEnd w:id="531"/>
      <w:r>
        <w:rPr>
          <w:rFonts w:ascii="Times New Roman;Times;Serif" w:hAnsi="Times New Roman;Times;Serif"/>
          <w:b w:val="false"/>
          <w:i w:val="false"/>
          <w:caps w:val="false"/>
          <w:smallCaps w:val="false"/>
          <w:sz w:val="20"/>
        </w:rPr>
        <w:t>1.45% as at June 30, 2026 by OCBC bank. This amount was used to finance the purchasing of our office at 7030 Ang Mo Kio Avenue 5 #09-102 Singapore 569880.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bank borrowings currently are guaranteed by a personal guarantee from Joyce Lee Jue Hui, director and shareholder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32" w:name="xdx_80E_ecustom--RelatedPartyTransaction"/>
      <w:bookmarkEnd w:id="532"/>
      <w:r>
        <w:rPr>
          <w:rFonts w:ascii="Times New Roman;Times;Serif" w:hAnsi="Times New Roman;Times;Serif"/>
          <w:b/>
          <w:i w:val="false"/>
          <w:caps w:val="false"/>
          <w:smallCaps w:val="false"/>
          <w:sz w:val="20"/>
        </w:rPr>
        <w:t xml:space="preserve">Note 11 - </w:t>
      </w:r>
      <w:bookmarkStart w:id="533" w:name="xdx_82A_zUToN0xvmOAc"/>
      <w:bookmarkEnd w:id="533"/>
      <w:r>
        <w:rPr>
          <w:rFonts w:ascii="Times New Roman;Times;Serif" w:hAnsi="Times New Roman;Times;Serif"/>
          <w:b/>
          <w:i w:val="false"/>
          <w:caps w:val="false"/>
          <w:smallCaps w:val="false"/>
          <w:sz w:val="20"/>
        </w:rPr>
        <w:t>Amount due to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Amount due to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due to director pertains to shareholder loans provided by Ms. Lee to the company to fund the offering costs. The original loan amount was up to US$</w:t>
      </w:r>
      <w:bookmarkStart w:id="534" w:name="xdx_904_ecustom--OriginalLoan_iI_uUSD_c2"/>
      <w:bookmarkEnd w:id="534"/>
      <w:r>
        <w:rPr>
          <w:rFonts w:ascii="Times New Roman;Times;Serif" w:hAnsi="Times New Roman;Times;Serif"/>
          <w:b w:val="false"/>
          <w:i w:val="false"/>
          <w:caps w:val="false"/>
          <w:smallCaps w:val="false"/>
          <w:sz w:val="20"/>
        </w:rPr>
        <w:t>800,000 and was increased to up to US$</w:t>
      </w:r>
      <w:bookmarkStart w:id="535" w:name="xdx_907_ecustom--OriginalLoan_iI_uUSD_c2"/>
      <w:bookmarkEnd w:id="535"/>
      <w:r>
        <w:rPr>
          <w:rFonts w:ascii="Times New Roman;Times;Serif" w:hAnsi="Times New Roman;Times;Serif"/>
          <w:b w:val="false"/>
          <w:i w:val="false"/>
          <w:caps w:val="false"/>
          <w:smallCaps w:val="false"/>
          <w:sz w:val="20"/>
        </w:rPr>
        <w:t>1,000,000. The Company intends to repay the loan in full using proceeds from this offering, in accordance with the terms of the loan agreement. The loan is repayable upon the earlier of the listing of the Ordinary Shares on Nasdaq or March 31, 2025, and further extended to March 31, 2026. As of the date of this report, the outstanding balance has been fully repaid.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director provided additional advances to the Company amounting to S$</w:t>
      </w:r>
      <w:bookmarkStart w:id="536" w:name="xdx_90E_eus-gaap--RepaymentsOfUnsecuredD"/>
      <w:bookmarkEnd w:id="536"/>
      <w:r>
        <w:rPr>
          <w:rFonts w:ascii="Times New Roman;Times;Serif" w:hAnsi="Times New Roman;Times;Serif"/>
          <w:b w:val="false"/>
          <w:i w:val="false"/>
          <w:caps w:val="false"/>
          <w:smallCaps w:val="false"/>
          <w:sz w:val="20"/>
        </w:rPr>
        <w:t>730,000. These amounts are unsecured, interest-free and repayable on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related parties are controlled by the common shareholders of the Company.</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37" w:name="xdx_802_eus-gaap--StockholdersEquityNote"/>
      <w:bookmarkEnd w:id="537"/>
      <w:r>
        <w:rPr>
          <w:rFonts w:ascii="Times New Roman;Times;Serif" w:hAnsi="Times New Roman;Times;Serif"/>
          <w:b/>
          <w:i w:val="false"/>
          <w:caps w:val="false"/>
          <w:smallCaps w:val="false"/>
          <w:sz w:val="20"/>
        </w:rPr>
        <w:t xml:space="preserve">Note 12 - </w:t>
      </w:r>
      <w:bookmarkStart w:id="538" w:name="xdx_825_zGMtX6ayW4Kf"/>
      <w:bookmarkEnd w:id="538"/>
      <w:r>
        <w:rPr>
          <w:rFonts w:ascii="Times New Roman;Times;Serif" w:hAnsi="Times New Roman;Times;Serif"/>
          <w:b/>
          <w:i w:val="false"/>
          <w:caps w:val="false"/>
          <w:smallCaps w:val="false"/>
          <w:sz w:val="20"/>
        </w:rPr>
        <w:t>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Authorized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established under the laws of the Cayman Islands on February 15, 2024, with authorized share capital of US$</w:t>
      </w:r>
      <w:bookmarkStart w:id="539" w:name="xdx_90A_eus-gaap--StockIssuedDuringPerio"/>
      <w:bookmarkEnd w:id="539"/>
      <w:r>
        <w:rPr>
          <w:rFonts w:ascii="Times New Roman;Times;Serif" w:hAnsi="Times New Roman;Times;Serif"/>
          <w:b w:val="false"/>
          <w:i w:val="false"/>
          <w:caps w:val="false"/>
          <w:smallCaps w:val="false"/>
          <w:sz w:val="20"/>
        </w:rPr>
        <w:t xml:space="preserve">500,000 divided into </w:t>
      </w:r>
      <w:bookmarkStart w:id="540" w:name="xdx_907_eus-gaap--CommonStockSharesAutho"/>
      <w:bookmarkEnd w:id="540"/>
      <w:r>
        <w:rPr>
          <w:rFonts w:ascii="Times New Roman;Times;Serif" w:hAnsi="Times New Roman;Times;Serif"/>
          <w:b w:val="false"/>
          <w:i w:val="false"/>
          <w:caps w:val="false"/>
          <w:smallCaps w:val="false"/>
          <w:sz w:val="20"/>
        </w:rPr>
        <w:t>500,000,000 ordinary shares of par value US$</w:t>
      </w:r>
      <w:bookmarkStart w:id="541" w:name="xdx_90E_eus-gaap--CommonStockParOrStated"/>
      <w:bookmarkEnd w:id="541"/>
      <w:r>
        <w:rPr>
          <w:rFonts w:ascii="Times New Roman;Times;Serif" w:hAnsi="Times New Roman;Times;Serif"/>
          <w:b w:val="false"/>
          <w:i w:val="false"/>
          <w:caps w:val="false"/>
          <w:smallCaps w:val="false"/>
          <w:sz w:val="20"/>
        </w:rPr>
        <w:t>0.001 each at the time of incorporation, reflecting the retrospective effect of the reorganization on February 15,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29, 2026, the shareholders passed ordinary resolutions to increase the Company’s authorized share capital through the creation of </w:t>
      </w:r>
      <w:bookmarkStart w:id="542" w:name="xdx_901_eus-gaap--CommonStockSharesAutho"/>
      <w:bookmarkEnd w:id="542"/>
      <w:r>
        <w:rPr>
          <w:rFonts w:ascii="Times New Roman;Times;Serif" w:hAnsi="Times New Roman;Times;Serif"/>
          <w:b w:val="false"/>
          <w:i w:val="false"/>
          <w:caps w:val="false"/>
          <w:smallCaps w:val="false"/>
          <w:sz w:val="20"/>
        </w:rPr>
        <w:t>10,000,000,000 Class A ordinary shares and approved the adoption of the Amended and Restated Memorandum and Articles of Association. Accordingly, the Company’s authorized share capital was increased from US$</w:t>
      </w:r>
      <w:bookmarkStart w:id="543" w:name="xdx_908_eus-gaap--InvestmentCompanyIncre"/>
      <w:bookmarkEnd w:id="543"/>
      <w:r>
        <w:rPr>
          <w:rFonts w:ascii="Times New Roman;Times;Serif" w:hAnsi="Times New Roman;Times;Serif"/>
          <w:b w:val="false"/>
          <w:i w:val="false"/>
          <w:caps w:val="false"/>
          <w:smallCaps w:val="false"/>
          <w:sz w:val="20"/>
        </w:rPr>
        <w:t>500,000 to US$</w:t>
      </w:r>
      <w:bookmarkStart w:id="544" w:name="xdx_900_eus-gaap--InvestmentCompanyIncre"/>
      <w:bookmarkEnd w:id="544"/>
      <w:r>
        <w:rPr>
          <w:rFonts w:ascii="Times New Roman;Times;Serif" w:hAnsi="Times New Roman;Times;Serif"/>
          <w:b w:val="false"/>
          <w:i w:val="false"/>
          <w:caps w:val="false"/>
          <w:smallCaps w:val="false"/>
          <w:sz w:val="20"/>
        </w:rPr>
        <w:t xml:space="preserve">23,000,000, divided into (a) </w:t>
      </w:r>
      <w:bookmarkStart w:id="545" w:name="xdx_908_eus-gaap--StockIssuedDuringPerio"/>
      <w:bookmarkEnd w:id="545"/>
      <w:r>
        <w:rPr>
          <w:rFonts w:ascii="Times New Roman;Times;Serif" w:hAnsi="Times New Roman;Times;Serif"/>
          <w:b w:val="false"/>
          <w:i w:val="false"/>
          <w:caps w:val="false"/>
          <w:smallCaps w:val="false"/>
          <w:sz w:val="20"/>
        </w:rPr>
        <w:t xml:space="preserve">10,177,777,777.78 Class A ordinary shares, (b) </w:t>
      </w:r>
      <w:bookmarkStart w:id="546" w:name="xdx_906_eus-gaap--StockIssuedDuringPerio"/>
      <w:bookmarkEnd w:id="546"/>
      <w:r>
        <w:rPr>
          <w:rFonts w:ascii="Times New Roman;Times;Serif" w:hAnsi="Times New Roman;Times;Serif"/>
          <w:b w:val="false"/>
          <w:i w:val="false"/>
          <w:caps w:val="false"/>
          <w:smallCaps w:val="false"/>
          <w:sz w:val="20"/>
        </w:rPr>
        <w:t xml:space="preserve">22,222,222.22 Class B ordinary shares and (c) </w:t>
      </w:r>
      <w:bookmarkStart w:id="547" w:name="xdx_90C_eus-gaap--StockIssuedDuringPerio"/>
      <w:bookmarkEnd w:id="547"/>
      <w:r>
        <w:rPr>
          <w:rFonts w:ascii="Times New Roman;Times;Serif" w:hAnsi="Times New Roman;Times;Serif"/>
          <w:b w:val="false"/>
          <w:i w:val="false"/>
          <w:caps w:val="false"/>
          <w:smallCaps w:val="false"/>
          <w:sz w:val="20"/>
        </w:rPr>
        <w:t>22,222,222.22 preferred shares, each with a par value of US$</w:t>
      </w:r>
      <w:bookmarkStart w:id="548" w:name="xdx_902_eus-gaap--CommonStockParOrStated"/>
      <w:bookmarkEnd w:id="548"/>
      <w:r>
        <w:rPr>
          <w:rFonts w:ascii="Times New Roman;Times;Serif" w:hAnsi="Times New Roman;Times;Serif"/>
          <w:b w:val="false"/>
          <w:i w:val="false"/>
          <w:caps w:val="false"/>
          <w:smallCaps w:val="false"/>
          <w:sz w:val="20"/>
        </w:rPr>
        <w:t>0.00225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Issued and Outstanding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4, 2025, the Company completed the issuance of an additional </w:t>
      </w:r>
      <w:bookmarkStart w:id="549" w:name="xdx_906_eus-gaap--StockIssuedDuringPerio"/>
      <w:bookmarkEnd w:id="549"/>
      <w:r>
        <w:rPr>
          <w:rFonts w:ascii="Times New Roman;Times;Serif" w:hAnsi="Times New Roman;Times;Serif"/>
          <w:b w:val="false"/>
          <w:i w:val="false"/>
          <w:caps w:val="false"/>
          <w:smallCaps w:val="false"/>
          <w:sz w:val="20"/>
        </w:rPr>
        <w:t xml:space="preserve">2,000,000 ordinary shares in connection with its initial public offering, resulting in a total of </w:t>
      </w:r>
      <w:bookmarkStart w:id="550" w:name="xdx_906_eus-gaap--CommonStockSharesOutst"/>
      <w:bookmarkStart w:id="551" w:name="xdx_902_eus-gaap--CommonStockSharesIssue"/>
      <w:bookmarkEnd w:id="550"/>
      <w:bookmarkEnd w:id="551"/>
      <w:r>
        <w:rPr>
          <w:rFonts w:ascii="Times New Roman;Times;Serif" w:hAnsi="Times New Roman;Times;Serif"/>
          <w:b w:val="false"/>
          <w:i w:val="false"/>
          <w:caps w:val="false"/>
          <w:smallCaps w:val="false"/>
          <w:sz w:val="20"/>
        </w:rPr>
        <w:t>17,000,000 ordinary shares issued and outstanding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23, 2026, shareholders approved a re-designation of the Company’s authorized share capital into Class A ordinary shares, Class B ordinary shares, and preferred shares. Accordingly, the authorized share capital of US$</w:t>
      </w:r>
      <w:bookmarkStart w:id="552" w:name="xdx_904_eus-gaap--CapitalUnits_iI_uUSD_c"/>
      <w:bookmarkEnd w:id="552"/>
      <w:r>
        <w:rPr>
          <w:rFonts w:ascii="Times New Roman;Times;Serif" w:hAnsi="Times New Roman;Times;Serif"/>
          <w:b w:val="false"/>
          <w:i w:val="false"/>
          <w:caps w:val="false"/>
          <w:smallCaps w:val="false"/>
          <w:sz w:val="20"/>
        </w:rPr>
        <w:t xml:space="preserve">500,000 was reclassified from </w:t>
      </w:r>
      <w:bookmarkStart w:id="553" w:name="xdx_90F_eus-gaap--CommonStockSharesAutho"/>
      <w:bookmarkEnd w:id="553"/>
      <w:r>
        <w:rPr>
          <w:rFonts w:ascii="Times New Roman;Times;Serif" w:hAnsi="Times New Roman;Times;Serif"/>
          <w:b w:val="false"/>
          <w:i w:val="false"/>
          <w:caps w:val="false"/>
          <w:smallCaps w:val="false"/>
          <w:sz w:val="20"/>
        </w:rPr>
        <w:t>100,000,000,000 ordinary shares of par value US$</w:t>
      </w:r>
      <w:bookmarkStart w:id="554" w:name="xdx_90D_eus-gaap--CommonStockParOrStated"/>
      <w:bookmarkEnd w:id="554"/>
      <w:r>
        <w:rPr>
          <w:rFonts w:ascii="Times New Roman;Times;Serif" w:hAnsi="Times New Roman;Times;Serif"/>
          <w:b w:val="false"/>
          <w:i w:val="false"/>
          <w:caps w:val="false"/>
          <w:smallCaps w:val="false"/>
          <w:sz w:val="20"/>
        </w:rPr>
        <w:t>0.000005 each into: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bookmarkStart w:id="555" w:name="xdx_90F_eus-gaap--CommonStockSharesAutho"/>
      <w:bookmarkEnd w:id="555"/>
      <w:r>
        <w:rPr>
          <w:rFonts w:ascii="Times New Roman;Times;Serif" w:hAnsi="Times New Roman;Times;Serif"/>
          <w:b w:val="false"/>
          <w:i w:val="false"/>
          <w:caps w:val="false"/>
          <w:smallCaps w:val="false"/>
          <w:sz w:val="20"/>
        </w:rPr>
        <w:t>80,000,000,000 Class A ordinary shares of par value US$</w:t>
      </w:r>
      <w:bookmarkStart w:id="556" w:name="xdx_907_eus-gaap--CommonStockParOrStated"/>
      <w:bookmarkEnd w:id="556"/>
      <w:r>
        <w:rPr>
          <w:rFonts w:ascii="Times New Roman;Times;Serif" w:hAnsi="Times New Roman;Times;Serif"/>
          <w:b w:val="false"/>
          <w:i w:val="false"/>
          <w:caps w:val="false"/>
          <w:smallCaps w:val="false"/>
          <w:sz w:val="20"/>
        </w:rPr>
        <w:t>0.000005 each;</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bookmarkStart w:id="557" w:name="xdx_90B_eus-gaap--CommonStockSharesAutho"/>
      <w:bookmarkEnd w:id="557"/>
      <w:r>
        <w:rPr>
          <w:rFonts w:ascii="Times New Roman;Times;Serif" w:hAnsi="Times New Roman;Times;Serif"/>
          <w:b w:val="false"/>
          <w:i w:val="false"/>
          <w:caps w:val="false"/>
          <w:smallCaps w:val="false"/>
          <w:sz w:val="20"/>
        </w:rPr>
        <w:t>10,000,000,000 Class B ordinary shares of par value US$</w:t>
      </w:r>
      <w:bookmarkStart w:id="558" w:name="xdx_903_eus-gaap--CommonStockParOrStated"/>
      <w:bookmarkEnd w:id="558"/>
      <w:r>
        <w:rPr>
          <w:rFonts w:ascii="Times New Roman;Times;Serif" w:hAnsi="Times New Roman;Times;Serif"/>
          <w:b w:val="false"/>
          <w:i w:val="false"/>
          <w:caps w:val="false"/>
          <w:smallCaps w:val="false"/>
          <w:sz w:val="20"/>
        </w:rPr>
        <w:t>0.000005 each; and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bookmarkStart w:id="559" w:name="xdx_90A_eus-gaap--PreferredStockSharesAu"/>
      <w:bookmarkEnd w:id="559"/>
      <w:r>
        <w:rPr>
          <w:rFonts w:ascii="Times New Roman;Times;Serif" w:hAnsi="Times New Roman;Times;Serif"/>
          <w:b w:val="false"/>
          <w:i w:val="false"/>
          <w:caps w:val="false"/>
          <w:smallCaps w:val="false"/>
          <w:sz w:val="20"/>
        </w:rPr>
        <w:t>10,000,000,000 preferred shares of par value US$</w:t>
      </w:r>
      <w:bookmarkStart w:id="560" w:name="xdx_902_eus-gaap--PreferredStockParOrSta"/>
      <w:bookmarkEnd w:id="560"/>
      <w:r>
        <w:rPr>
          <w:rFonts w:ascii="Times New Roman;Times;Serif" w:hAnsi="Times New Roman;Times;Serif"/>
          <w:b w:val="false"/>
          <w:i w:val="false"/>
          <w:caps w:val="false"/>
          <w:smallCaps w:val="false"/>
          <w:sz w:val="20"/>
        </w:rPr>
        <w:t>0.000005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561" w:name="xdx_90E_eus-gaap--CommonStockSharesOutst"/>
      <w:bookmarkStart w:id="562" w:name="xdx_90F_eus-gaap--CommonStockSharesIssue"/>
      <w:bookmarkEnd w:id="561"/>
      <w:bookmarkEnd w:id="562"/>
      <w:r>
        <w:rPr>
          <w:rFonts w:ascii="Times New Roman;Times;Serif" w:hAnsi="Times New Roman;Times;Serif"/>
          <w:b w:val="false"/>
          <w:i w:val="false"/>
          <w:caps w:val="false"/>
          <w:smallCaps w:val="false"/>
          <w:sz w:val="20"/>
        </w:rPr>
        <w:t xml:space="preserve">17,000,000 issued and outstanding ordinary shares as of December 31, 2025 were re-designated on a one-for-one basis into </w:t>
      </w:r>
      <w:bookmarkStart w:id="563" w:name="xdx_909_eus-gaap--CommonStockSharesOutst"/>
      <w:bookmarkStart w:id="564" w:name="xdx_900_eus-gaap--CommonStockSharesIssue"/>
      <w:bookmarkEnd w:id="563"/>
      <w:bookmarkEnd w:id="564"/>
      <w:r>
        <w:rPr>
          <w:rFonts w:ascii="Times New Roman;Times;Serif" w:hAnsi="Times New Roman;Times;Serif"/>
          <w:b w:val="false"/>
          <w:i w:val="false"/>
          <w:caps w:val="false"/>
          <w:smallCaps w:val="false"/>
          <w:sz w:val="20"/>
        </w:rPr>
        <w:t xml:space="preserve">8,292,150 Class A ordinary shares (one vote per share) and </w:t>
      </w:r>
      <w:bookmarkStart w:id="565" w:name="xdx_906_eus-gaap--CommonStockSharesOutst"/>
      <w:bookmarkStart w:id="566" w:name="xdx_90F_eus-gaap--CommonStockSharesIssue"/>
      <w:bookmarkEnd w:id="565"/>
      <w:bookmarkEnd w:id="566"/>
      <w:r>
        <w:rPr>
          <w:rFonts w:ascii="Times New Roman;Times;Serif" w:hAnsi="Times New Roman;Times;Serif"/>
          <w:b w:val="false"/>
          <w:i w:val="false"/>
          <w:caps w:val="false"/>
          <w:smallCaps w:val="false"/>
          <w:sz w:val="20"/>
        </w:rPr>
        <w:t xml:space="preserve">8,707,850 Class B ordinary shares (50 votes per share). </w:t>
      </w:r>
      <w:bookmarkStart w:id="567" w:name="xdx_903_eus-gaap--PreferredStockSharesOu"/>
      <w:bookmarkStart w:id="568" w:name="xdx_90A_eus-gaap--PreferredStockSharesIs"/>
      <w:bookmarkEnd w:id="567"/>
      <w:bookmarkEnd w:id="568"/>
      <w:r>
        <w:rPr>
          <w:rFonts w:ascii="Times New Roman;Times;Serif" w:hAnsi="Times New Roman;Times;Serif"/>
          <w:b w:val="false"/>
          <w:i w:val="false"/>
          <w:caps w:val="false"/>
          <w:smallCaps w:val="false"/>
          <w:sz w:val="20"/>
        </w:rPr>
        <w:t>No preferred shares were issued or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12, 2026, the Company effected a </w:t>
      </w:r>
      <w:bookmarkStart w:id="569" w:name="xdx_90C_eus-gaap--StockholdersEquityNote"/>
      <w:bookmarkEnd w:id="569"/>
      <w:r>
        <w:rPr>
          <w:rFonts w:ascii="Times New Roman;Times;Serif" w:hAnsi="Times New Roman;Times;Serif"/>
          <w:b w:val="false"/>
          <w:i w:val="false"/>
          <w:caps w:val="false"/>
          <w:smallCaps w:val="false"/>
          <w:sz w:val="20"/>
        </w:rPr>
        <w:t xml:space="preserve">15-for-1 reverse share split of its issued and authorized shares. As a result, the </w:t>
      </w:r>
      <w:bookmarkStart w:id="570" w:name="xdx_901_eus-gaap--StockIssuedDuringPerio"/>
      <w:bookmarkEnd w:id="570"/>
      <w:r>
        <w:rPr>
          <w:rFonts w:ascii="Times New Roman;Times;Serif" w:hAnsi="Times New Roman;Times;Serif"/>
          <w:b w:val="false"/>
          <w:i w:val="false"/>
          <w:caps w:val="false"/>
          <w:smallCaps w:val="false"/>
          <w:sz w:val="20"/>
        </w:rPr>
        <w:t xml:space="preserve">17,000,000 ordinary shares outstanding immediately prior to the reverse share split were consolidated into </w:t>
      </w:r>
      <w:bookmarkStart w:id="571" w:name="xdx_90C_eus-gaap--StockIssuedDuringPerio"/>
      <w:bookmarkEnd w:id="571"/>
      <w:r>
        <w:rPr>
          <w:rFonts w:ascii="Times New Roman;Times;Serif" w:hAnsi="Times New Roman;Times;Serif"/>
          <w:b w:val="false"/>
          <w:i w:val="false"/>
          <w:caps w:val="false"/>
          <w:smallCaps w:val="false"/>
          <w:sz w:val="20"/>
        </w:rPr>
        <w:t xml:space="preserve">1,133,334 shares, consisting of </w:t>
      </w:r>
      <w:bookmarkStart w:id="572" w:name="xdx_903_eus-gaap--StockIssuedDuringPerio"/>
      <w:bookmarkEnd w:id="572"/>
      <w:r>
        <w:rPr>
          <w:rFonts w:ascii="Times New Roman;Times;Serif" w:hAnsi="Times New Roman;Times;Serif"/>
          <w:b w:val="false"/>
          <w:i w:val="false"/>
          <w:caps w:val="false"/>
          <w:smallCaps w:val="false"/>
          <w:sz w:val="20"/>
        </w:rPr>
        <w:t xml:space="preserve">552,810 Class A ordinary shares and </w:t>
      </w:r>
      <w:bookmarkStart w:id="573" w:name="xdx_904_eus-gaap--StockIssuedDuringPerio"/>
      <w:bookmarkEnd w:id="573"/>
      <w:r>
        <w:rPr>
          <w:rFonts w:ascii="Times New Roman;Times;Serif" w:hAnsi="Times New Roman;Times;Serif"/>
          <w:b w:val="false"/>
          <w:i w:val="false"/>
          <w:caps w:val="false"/>
          <w:smallCaps w:val="false"/>
          <w:sz w:val="20"/>
        </w:rPr>
        <w:t xml:space="preserve">580,524 Class B ordinary shares. Correspondingly, the Company’s authorized share capital was proportionately reduced, with the number of authorized shares adjusted from </w:t>
      </w:r>
      <w:bookmarkStart w:id="574" w:name="xdx_90B_eus-gaap--CapitalUnitsAuthorized"/>
      <w:bookmarkEnd w:id="574"/>
      <w:r>
        <w:rPr>
          <w:rFonts w:ascii="Times New Roman;Times;Serif" w:hAnsi="Times New Roman;Times;Serif"/>
          <w:b w:val="false"/>
          <w:i w:val="false"/>
          <w:caps w:val="false"/>
          <w:smallCaps w:val="false"/>
          <w:sz w:val="20"/>
        </w:rPr>
        <w:t xml:space="preserve">100,000,000,000 shares to </w:t>
      </w:r>
      <w:bookmarkStart w:id="575" w:name="xdx_909_eus-gaap--CapitalUnitsAuthorized"/>
      <w:bookmarkEnd w:id="575"/>
      <w:r>
        <w:rPr>
          <w:rFonts w:ascii="Times New Roman;Times;Serif" w:hAnsi="Times New Roman;Times;Serif"/>
          <w:b w:val="false"/>
          <w:i w:val="false"/>
          <w:caps w:val="false"/>
          <w:smallCaps w:val="false"/>
          <w:sz w:val="20"/>
        </w:rPr>
        <w:t>6,666,666,667 shares, with no change in the aggregate authorized share capital of US$</w:t>
      </w:r>
      <w:bookmarkStart w:id="576" w:name="xdx_90B_eus-gaap--CapitalUnitsAuthorized"/>
      <w:bookmarkEnd w:id="576"/>
      <w:r>
        <w:rPr>
          <w:rFonts w:ascii="Times New Roman;Times;Serif" w:hAnsi="Times New Roman;Times;Serif"/>
          <w:b w:val="false"/>
          <w:i w:val="false"/>
          <w:caps w:val="false"/>
          <w:smallCaps w:val="false"/>
          <w:sz w:val="20"/>
        </w:rPr>
        <w:t>500,000 or the par value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260, all share and per share amounts presented in these financial statements have been retrospectively adjusted to reflect the 15-for-1 reverse share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20, 2026, the Company issued </w:t>
      </w:r>
      <w:bookmarkStart w:id="577" w:name="xdx_901_eus-gaap--StockIssuedDuringPerio"/>
      <w:bookmarkEnd w:id="577"/>
      <w:r>
        <w:rPr>
          <w:rFonts w:ascii="Times New Roman;Times;Serif" w:hAnsi="Times New Roman;Times;Serif"/>
          <w:b w:val="false"/>
          <w:i w:val="false"/>
          <w:caps w:val="false"/>
          <w:smallCaps w:val="false"/>
          <w:sz w:val="20"/>
        </w:rPr>
        <w:t xml:space="preserve">3,225,000 Class A ordinary shares in connection with the completion of its fund-raising exercise. As of May 12, 2026, the Company issued an aggregate of </w:t>
      </w:r>
      <w:bookmarkStart w:id="578" w:name="xdx_90A_eus-gaap--ClassOfWarrantOrRightN"/>
      <w:bookmarkEnd w:id="578"/>
      <w:r>
        <w:rPr>
          <w:rFonts w:ascii="Times New Roman;Times;Serif" w:hAnsi="Times New Roman;Times;Serif"/>
          <w:b w:val="false"/>
          <w:i w:val="false"/>
          <w:caps w:val="false"/>
          <w:smallCaps w:val="false"/>
          <w:sz w:val="20"/>
        </w:rPr>
        <w:t>808,334 Class A ordinary shares pursuant to the exercise of warrants. The warrants were exercised on a non-cash basis and no cash consideration was received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4, 2026, the Company effected a </w:t>
      </w:r>
      <w:bookmarkStart w:id="579" w:name="xdx_90D_eus-gaap--StockholdersEquityNote"/>
      <w:bookmarkEnd w:id="579"/>
      <w:r>
        <w:rPr>
          <w:rFonts w:ascii="Times New Roman;Times;Serif" w:hAnsi="Times New Roman;Times;Serif"/>
          <w:b w:val="false"/>
          <w:i w:val="false"/>
          <w:caps w:val="false"/>
          <w:smallCaps w:val="false"/>
          <w:sz w:val="20"/>
        </w:rPr>
        <w:t xml:space="preserve">30-for-1 reverse share split of its issued and authorized shares. As a result, the Company’s authorized share capital was adjusted from </w:t>
      </w:r>
      <w:bookmarkStart w:id="580" w:name="xdx_905_eus-gaap--CapitalUnitsAuthorized"/>
      <w:bookmarkEnd w:id="580"/>
      <w:r>
        <w:rPr>
          <w:rFonts w:ascii="Times New Roman;Times;Serif" w:hAnsi="Times New Roman;Times;Serif"/>
          <w:b w:val="false"/>
          <w:i w:val="false"/>
          <w:caps w:val="false"/>
          <w:smallCaps w:val="false"/>
          <w:sz w:val="20"/>
        </w:rPr>
        <w:t>6,666,666,666.67 shares with a par value of US$</w:t>
      </w:r>
      <w:bookmarkStart w:id="581" w:name="xdx_902_eus-gaap--CommonStockParOrStated"/>
      <w:bookmarkEnd w:id="581"/>
      <w:r>
        <w:rPr>
          <w:rFonts w:ascii="Times New Roman;Times;Serif" w:hAnsi="Times New Roman;Times;Serif"/>
          <w:b w:val="false"/>
          <w:i w:val="false"/>
          <w:caps w:val="false"/>
          <w:smallCaps w:val="false"/>
          <w:sz w:val="20"/>
        </w:rPr>
        <w:t xml:space="preserve">0.000075 each to </w:t>
      </w:r>
      <w:bookmarkStart w:id="582" w:name="xdx_906_eus-gaap--CapitalUnitsAuthorized"/>
      <w:bookmarkEnd w:id="582"/>
      <w:r>
        <w:rPr>
          <w:rFonts w:ascii="Times New Roman;Times;Serif" w:hAnsi="Times New Roman;Times;Serif"/>
          <w:b w:val="false"/>
          <w:i w:val="false"/>
          <w:caps w:val="false"/>
          <w:smallCaps w:val="false"/>
          <w:sz w:val="20"/>
        </w:rPr>
        <w:t>222,222,222.22 shares with a par value of US$</w:t>
      </w:r>
      <w:bookmarkStart w:id="583" w:name="xdx_90B_eus-gaap--CommonStockParOrStated"/>
      <w:bookmarkEnd w:id="583"/>
      <w:r>
        <w:rPr>
          <w:rFonts w:ascii="Times New Roman;Times;Serif" w:hAnsi="Times New Roman;Times;Serif"/>
          <w:b w:val="false"/>
          <w:i w:val="false"/>
          <w:caps w:val="false"/>
          <w:smallCaps w:val="false"/>
          <w:sz w:val="20"/>
        </w:rPr>
        <w:t>0.00225 each, with no change in the aggregate authorized share capital of US$</w:t>
      </w:r>
      <w:bookmarkStart w:id="584" w:name="xdx_90E_ecustom--AuthorizedShareCapital_"/>
      <w:bookmarkEnd w:id="584"/>
      <w:r>
        <w:rPr>
          <w:rFonts w:ascii="Times New Roman;Times;Serif" w:hAnsi="Times New Roman;Times;Serif"/>
          <w:b w:val="false"/>
          <w:i w:val="false"/>
          <w:caps w:val="false"/>
          <w:smallCaps w:val="false"/>
          <w:sz w:val="20"/>
        </w:rPr>
        <w:t>500,000.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Immediately following the reverse share split, the Company had </w:t>
      </w:r>
      <w:bookmarkStart w:id="585" w:name="xdx_909_eus-gaap--StockIssuedDuringPerio"/>
      <w:bookmarkEnd w:id="585"/>
      <w:r>
        <w:rPr>
          <w:rFonts w:ascii="Times New Roman;Times;Serif" w:hAnsi="Times New Roman;Times;Serif"/>
          <w:b w:val="false"/>
          <w:i w:val="false"/>
          <w:caps w:val="false"/>
          <w:smallCaps w:val="false"/>
          <w:sz w:val="20"/>
        </w:rPr>
        <w:t xml:space="preserve">18,427 Class A ordinary shares and </w:t>
      </w:r>
      <w:bookmarkStart w:id="586" w:name="xdx_902_eus-gaap--StockIssuedDuringPerio"/>
      <w:bookmarkEnd w:id="586"/>
      <w:r>
        <w:rPr>
          <w:rFonts w:ascii="Times New Roman;Times;Serif" w:hAnsi="Times New Roman;Times;Serif"/>
          <w:b w:val="false"/>
          <w:i w:val="false"/>
          <w:caps w:val="false"/>
          <w:smallCaps w:val="false"/>
          <w:sz w:val="20"/>
        </w:rPr>
        <w:t xml:space="preserve">19,350.78 Class B ordinary shares issued and outstanding, representing an aggregate of </w:t>
      </w:r>
      <w:bookmarkStart w:id="587" w:name="xdx_90B_eus-gaap--SharesOutstanding_iI_p"/>
      <w:bookmarkStart w:id="588" w:name="xdx_90F_eus-gaap--SharesIssued_iI_pid_c2"/>
      <w:bookmarkEnd w:id="587"/>
      <w:bookmarkEnd w:id="588"/>
      <w:r>
        <w:rPr>
          <w:rFonts w:ascii="Times New Roman;Times;Serif" w:hAnsi="Times New Roman;Times;Serif"/>
          <w:b w:val="false"/>
          <w:i w:val="false"/>
          <w:caps w:val="false"/>
          <w:smallCaps w:val="false"/>
          <w:sz w:val="20"/>
        </w:rPr>
        <w:t>37,777.78 shares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29, 2026, the shareholders passed ordinary resolutions to increase the Company’s authorized share capital through the creation of </w:t>
      </w:r>
      <w:bookmarkStart w:id="589" w:name="xdx_901_eus-gaap--CommonStockSharesAutho"/>
      <w:bookmarkEnd w:id="589"/>
      <w:r>
        <w:rPr>
          <w:rFonts w:ascii="Times New Roman;Times;Serif" w:hAnsi="Times New Roman;Times;Serif"/>
          <w:b w:val="false"/>
          <w:i w:val="false"/>
          <w:caps w:val="false"/>
          <w:smallCaps w:val="false"/>
          <w:sz w:val="20"/>
        </w:rPr>
        <w:t>10,000,000,000 Class A ordinary shares and approved the adoption of the Amended and Restated Memorandum and Articles of Association. Accordingly, the Company’s authorized share capital was increased to US$</w:t>
      </w:r>
      <w:bookmarkStart w:id="590" w:name="xdx_90C_eus-gaap--InvestmentCompanyIncre"/>
      <w:bookmarkEnd w:id="590"/>
      <w:r>
        <w:rPr>
          <w:rFonts w:ascii="Times New Roman;Times;Serif" w:hAnsi="Times New Roman;Times;Serif"/>
          <w:b w:val="false"/>
          <w:i w:val="false"/>
          <w:caps w:val="false"/>
          <w:smallCaps w:val="false"/>
          <w:sz w:val="20"/>
        </w:rPr>
        <w:t>23,000,000, divided into (a)</w:t>
      </w:r>
      <w:bookmarkStart w:id="591" w:name="xdx_908_eus-gaap--StockIssuedDuringPerio"/>
      <w:bookmarkEnd w:id="591"/>
      <w:r>
        <w:rPr>
          <w:rFonts w:ascii="Times New Roman;Times;Serif" w:hAnsi="Times New Roman;Times;Serif"/>
          <w:b w:val="false"/>
          <w:i w:val="false"/>
          <w:caps w:val="false"/>
          <w:smallCaps w:val="false"/>
          <w:sz w:val="20"/>
        </w:rPr>
        <w:t xml:space="preserve"> 10,177,777,777.78 Class A ordinary shares, (b) </w:t>
      </w:r>
      <w:bookmarkStart w:id="592" w:name="xdx_906_eus-gaap--StockIssuedDuringPerio"/>
      <w:bookmarkEnd w:id="592"/>
      <w:r>
        <w:rPr>
          <w:rFonts w:ascii="Times New Roman;Times;Serif" w:hAnsi="Times New Roman;Times;Serif"/>
          <w:b w:val="false"/>
          <w:i w:val="false"/>
          <w:caps w:val="false"/>
          <w:smallCaps w:val="false"/>
          <w:sz w:val="20"/>
        </w:rPr>
        <w:t xml:space="preserve">22,222,222.22 Class B ordinary shares, and (c) </w:t>
      </w:r>
      <w:bookmarkStart w:id="593" w:name="xdx_90C_eus-gaap--StockIssuedDuringPerio"/>
      <w:bookmarkEnd w:id="593"/>
      <w:r>
        <w:rPr>
          <w:rFonts w:ascii="Times New Roman;Times;Serif" w:hAnsi="Times New Roman;Times;Serif"/>
          <w:b w:val="false"/>
          <w:i w:val="false"/>
          <w:caps w:val="false"/>
          <w:smallCaps w:val="false"/>
          <w:sz w:val="20"/>
        </w:rPr>
        <w:t>22,222,222.22 preferred shares, each with a par value of US$</w:t>
      </w:r>
      <w:bookmarkStart w:id="594" w:name="xdx_902_eus-gaap--CommonStockParOrStated"/>
      <w:bookmarkEnd w:id="594"/>
      <w:r>
        <w:rPr>
          <w:rFonts w:ascii="Times New Roman;Times;Serif" w:hAnsi="Times New Roman;Times;Serif"/>
          <w:b w:val="false"/>
          <w:i w:val="false"/>
          <w:caps w:val="false"/>
          <w:smallCaps w:val="false"/>
          <w:sz w:val="20"/>
        </w:rPr>
        <w:t>0.00225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260, all share and per share amounts presented in these financial statements have been retrospectively adjusted to reflect the 30-for-1 reverse share split.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95" w:name="xdx_80B_eus-gaap--SegmentReportingDisclo"/>
      <w:bookmarkEnd w:id="595"/>
      <w:r>
        <w:rPr>
          <w:rFonts w:ascii="Times New Roman;Times;Serif" w:hAnsi="Times New Roman;Times;Serif"/>
          <w:b/>
          <w:i w:val="false"/>
          <w:caps w:val="false"/>
          <w:smallCaps w:val="false"/>
          <w:sz w:val="20"/>
        </w:rPr>
        <w:t xml:space="preserve">Note 13 – </w:t>
      </w:r>
      <w:bookmarkStart w:id="596" w:name="xdx_825_zzKrxf82C0e1"/>
      <w:bookmarkEnd w:id="596"/>
      <w:r>
        <w:rPr>
          <w:rFonts w:ascii="Times New Roman;Times;Serif" w:hAnsi="Times New Roman;Times;Serif"/>
          <w:b/>
          <w:i w:val="false"/>
          <w:caps w:val="false"/>
          <w:smallCaps w:val="false"/>
          <w:sz w:val="20"/>
        </w:rPr>
        <w:t>Revenue by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ASC 280, Segment Reporting, operating segments are defined as components of an enterprise about which separate financial information is available that is evaluated regularly by the chief operating decision maker (“CODM”), or decision-making group, in deciding how to allocate resources and in assessing performance. The Company uses the “management approach” in determining reportable operating segments. The management approach considers the internal organization and reporting used by the Company’s chief operating decision maker for making operating decisions and assessing performance as the source for determining the Company’s reportable segments. Management, including the chief operating decision maker, reviews operation results by the revenue of different services. Based on management’s assessment, the Company has determined that it has </w:t>
      </w:r>
      <w:bookmarkStart w:id="597" w:name="xdx_90E_eus-gaap--NumberOfReportableSegm"/>
      <w:bookmarkEnd w:id="597"/>
      <w:r>
        <w:rPr>
          <w:rFonts w:ascii="Times New Roman;Times;Serif" w:hAnsi="Times New Roman;Times;Serif"/>
          <w:b w:val="false"/>
          <w:i w:val="false"/>
          <w:caps w:val="false"/>
          <w:smallCaps w:val="false"/>
          <w:sz w:val="20"/>
        </w:rPr>
        <w:t>two operating segments as defined by ASC 280 as follow:</w:t>
      </w:r>
    </w:p>
    <w:p>
      <w:pPr>
        <w:pStyle w:val="TextBody"/>
        <w:bidi w:val="0"/>
        <w:spacing w:before="0" w:after="0"/>
        <w:ind w:left="0" w:right="0" w:hanging="0"/>
        <w:jc w:val="both"/>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75"/>
        <w:gridCol w:w="170"/>
        <w:gridCol w:w="17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Swim fees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merchandise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Pickleball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the results of each reportable segment is included below. Performance is measured based on segment revenue and gross profit, as included in the internal management reports that are reviewed by the Company’s CODM. Both segment revenue and gross profit are used to measure performance as management believes that such information is the most relevant in evaluating the level of activities and results of these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98" w:name="xdx_8B2_zbiPoMf0lBra"/>
      <w:bookmarkStart w:id="599" w:name="xdx_89E_ecustom--ScheduleOfSegmentReport"/>
      <w:bookmarkEnd w:id="598"/>
      <w:bookmarkEnd w:id="599"/>
      <w:r>
        <w:rPr>
          <w:rFonts w:ascii="Times New Roman;Times;Serif" w:hAnsi="Times New Roman;Times;Serif"/>
          <w:b w:val="false"/>
          <w:i w:val="false"/>
          <w:caps w:val="false"/>
          <w:smallCaps w:val="false"/>
          <w:sz w:val="20"/>
        </w:rPr>
        <w:t>Schedule of information by revenue</w:t>
      </w:r>
    </w:p>
    <w:tbl>
      <w:tblPr>
        <w:tblW w:w="6370" w:type="dxa"/>
        <w:jc w:val="left"/>
        <w:tblInd w:w="0" w:type="dxa"/>
        <w:tblLayout w:type="fixed"/>
        <w:tblCellMar>
          <w:top w:w="0" w:type="dxa"/>
          <w:left w:w="0" w:type="dxa"/>
          <w:bottom w:w="0" w:type="dxa"/>
          <w:right w:w="0" w:type="dxa"/>
        </w:tblCellMar>
      </w:tblPr>
      <w:tblGrid>
        <w:gridCol w:w="1730"/>
        <w:gridCol w:w="60"/>
        <w:gridCol w:w="77"/>
        <w:gridCol w:w="947"/>
        <w:gridCol w:w="71"/>
        <w:gridCol w:w="71"/>
        <w:gridCol w:w="145"/>
        <w:gridCol w:w="955"/>
        <w:gridCol w:w="113"/>
        <w:gridCol w:w="71"/>
        <w:gridCol w:w="133"/>
        <w:gridCol w:w="877"/>
        <w:gridCol w:w="71"/>
        <w:gridCol w:w="71"/>
        <w:gridCol w:w="71"/>
        <w:gridCol w:w="832"/>
        <w:gridCol w:w="75"/>
      </w:tblGrid>
      <w:tr>
        <w:trPr/>
        <w:tc>
          <w:tcPr>
            <w:tcW w:w="17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bookmarkStart w:id="600" w:name="xdx_49A_20250101__20250630__srt--Product"/>
            <w:bookmarkEnd w:id="600"/>
          </w:p>
        </w:tc>
        <w:tc>
          <w:tcPr>
            <w:tcW w:w="947" w:type="dxa"/>
            <w:tcBorders/>
            <w:shd w:fill="FFFFFF" w:val="clear"/>
            <w:vAlign w:val="center"/>
          </w:tcPr>
          <w:p>
            <w:pPr>
              <w:pStyle w:val="TableContents"/>
              <w:bidi w:val="0"/>
              <w:spacing w:before="0" w:after="283"/>
              <w:jc w:val="center"/>
              <w:rPr/>
            </w:pPr>
            <w:r>
              <w:rPr/>
              <w:t>  </w:t>
            </w:r>
            <w:r>
              <w:rPr>
                <w:rFonts w:ascii="Times New Roman;Times;Serif" w:hAnsi="Times New Roman;Times;Serif"/>
                <w:b/>
                <w:sz w:val="20"/>
              </w:rPr>
              <w:t>S$’000</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bookmarkStart w:id="601" w:name="xdx_494_20250101__20250630__srt--Product"/>
            <w:bookmarkEnd w:id="601"/>
          </w:p>
        </w:tc>
        <w:tc>
          <w:tcPr>
            <w:tcW w:w="95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S$’000    </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bookmarkStart w:id="602" w:name="xdx_495_20250101__20250630__srt--Product"/>
            <w:bookmarkEnd w:id="602"/>
          </w:p>
        </w:tc>
        <w:tc>
          <w:tcPr>
            <w:tcW w:w="877"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S$’000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bookmarkStart w:id="603" w:name="xdx_494_20250101__20250630_zynGaNz0yna4"/>
            <w:bookmarkEnd w:id="603"/>
          </w:p>
        </w:tc>
        <w:tc>
          <w:tcPr>
            <w:tcW w:w="832"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S$’000  </w:t>
            </w:r>
          </w:p>
        </w:tc>
        <w:tc>
          <w:tcPr>
            <w:tcW w:w="75" w:type="dxa"/>
            <w:tcBorders/>
            <w:shd w:fill="FFFFFF" w:val="clear"/>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0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For the Six Months Ended  June 30, 2025</w:t>
            </w:r>
          </w:p>
        </w:tc>
        <w:tc>
          <w:tcPr>
            <w:tcW w:w="7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Swim fees</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Sales of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merchandise</w:t>
            </w:r>
          </w:p>
        </w:tc>
        <w:tc>
          <w:tcPr>
            <w:tcW w:w="11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Pickleball</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center"/>
              <w:rPr/>
            </w:pPr>
            <w:r>
              <w:rPr/>
              <w:t>  </w:t>
            </w:r>
            <w:r>
              <w:rPr>
                <w:rFonts w:ascii="Times New Roman;Times;Serif" w:hAnsi="Times New Roman;Times;Serif"/>
                <w:b/>
                <w:sz w:val="20"/>
              </w:rPr>
              <w:t>S$’000</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S$’000    </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S$’000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S$’000  </w:t>
            </w:r>
          </w:p>
        </w:tc>
        <w:tc>
          <w:tcPr>
            <w:tcW w:w="75" w:type="dxa"/>
            <w:tcBorders/>
            <w:shd w:fill="FFFFFF" w:val="clear"/>
            <w:vAlign w:val="center"/>
          </w:tcPr>
          <w:p>
            <w:pPr>
              <w:pStyle w:val="TableContents"/>
              <w:bidi w:val="0"/>
              <w:spacing w:before="0" w:after="283"/>
              <w:jc w:val="left"/>
              <w:rPr/>
            </w:pPr>
            <w:r>
              <w:rPr/>
              <w:t> </w:t>
            </w:r>
            <w:bookmarkStart w:id="604" w:name="xdx_408_eus-gaap--RevenueFromContractWit"/>
            <w:bookmarkEnd w:id="604"/>
          </w:p>
        </w:tc>
      </w:tr>
      <w:tr>
        <w:trPr/>
        <w:tc>
          <w:tcPr>
            <w:tcW w:w="173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2,158</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4</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2,162</w:t>
            </w:r>
          </w:p>
        </w:tc>
        <w:tc>
          <w:tcPr>
            <w:tcW w:w="75" w:type="dxa"/>
            <w:tcBorders/>
            <w:shd w:fill="CCEEFF" w:val="clear"/>
            <w:vAlign w:val="center"/>
          </w:tcPr>
          <w:p>
            <w:pPr>
              <w:pStyle w:val="TableContents"/>
              <w:bidi w:val="0"/>
              <w:spacing w:before="0" w:after="283"/>
              <w:jc w:val="left"/>
              <w:rPr/>
            </w:pPr>
            <w:r>
              <w:rPr/>
              <w:t> </w:t>
            </w:r>
            <w:bookmarkStart w:id="605" w:name="xdx_40D_eus-gaap--GrossProfit_pn3n3_zlUj"/>
            <w:bookmarkEnd w:id="605"/>
          </w:p>
        </w:tc>
      </w:tr>
      <w:tr>
        <w:trPr/>
        <w:tc>
          <w:tcPr>
            <w:tcW w:w="1730" w:type="dxa"/>
            <w:tcBorders/>
            <w:shd w:fill="FFFFFF" w:val="clear"/>
            <w:vAlign w:val="center"/>
          </w:tcPr>
          <w:p>
            <w:pPr>
              <w:pStyle w:val="TableContents"/>
              <w:bidi w:val="0"/>
              <w:spacing w:before="0" w:after="283"/>
              <w:jc w:val="left"/>
              <w:rPr/>
            </w:pPr>
            <w:r>
              <w:rPr/>
              <w:t>Gross profit (loss)</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pPr>
            <w:r>
              <w:rPr/>
              <w:t>628</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(4</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pPr>
            <w:r>
              <w:rPr/>
              <w:t>624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388" w:type="dxa"/>
        <w:jc w:val="left"/>
        <w:tblInd w:w="0" w:type="dxa"/>
        <w:tblLayout w:type="fixed"/>
        <w:tblCellMar>
          <w:top w:w="0" w:type="dxa"/>
          <w:left w:w="0" w:type="dxa"/>
          <w:bottom w:w="0" w:type="dxa"/>
          <w:right w:w="0" w:type="dxa"/>
        </w:tblCellMar>
      </w:tblPr>
      <w:tblGrid>
        <w:gridCol w:w="1730"/>
        <w:gridCol w:w="60"/>
        <w:gridCol w:w="77"/>
        <w:gridCol w:w="947"/>
        <w:gridCol w:w="67"/>
        <w:gridCol w:w="67"/>
        <w:gridCol w:w="145"/>
        <w:gridCol w:w="955"/>
        <w:gridCol w:w="107"/>
        <w:gridCol w:w="67"/>
        <w:gridCol w:w="133"/>
        <w:gridCol w:w="884"/>
        <w:gridCol w:w="157"/>
        <w:gridCol w:w="67"/>
        <w:gridCol w:w="67"/>
        <w:gridCol w:w="783"/>
        <w:gridCol w:w="75"/>
      </w:tblGrid>
      <w:tr>
        <w:trPr/>
        <w:tc>
          <w:tcPr>
            <w:tcW w:w="17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bookmarkStart w:id="606" w:name="xdx_49C_20260101__20260630__srt--Product"/>
            <w:bookmarkEnd w:id="606"/>
          </w:p>
        </w:tc>
        <w:tc>
          <w:tcPr>
            <w:tcW w:w="947" w:type="dxa"/>
            <w:tcBorders/>
            <w:shd w:fill="FFFFFF" w:val="clear"/>
            <w:vAlign w:val="center"/>
          </w:tcPr>
          <w:p>
            <w:pPr>
              <w:pStyle w:val="TableContents"/>
              <w:bidi w:val="0"/>
              <w:spacing w:before="0" w:after="283"/>
              <w:jc w:val="center"/>
              <w:rPr/>
            </w:pPr>
            <w:r>
              <w:rPr/>
              <w:t>  </w:t>
            </w:r>
            <w:r>
              <w:rPr>
                <w:rFonts w:ascii="Times New Roman;Times;Serif" w:hAnsi="Times New Roman;Times;Serif"/>
                <w:b/>
                <w:sz w:val="20"/>
              </w:rPr>
              <w:t>S$’000</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bookmarkStart w:id="607" w:name="xdx_49B_20260101__20260630__srt--Product"/>
            <w:bookmarkEnd w:id="607"/>
          </w:p>
        </w:tc>
        <w:tc>
          <w:tcPr>
            <w:tcW w:w="95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S$’000    </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bookmarkStart w:id="608" w:name="xdx_496_20260101__20260630__srt--Product"/>
            <w:bookmarkEnd w:id="608"/>
          </w:p>
        </w:tc>
        <w:tc>
          <w:tcPr>
            <w:tcW w:w="884"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S$’000    </w:t>
            </w:r>
          </w:p>
        </w:tc>
        <w:tc>
          <w:tcPr>
            <w:tcW w:w="15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bookmarkStart w:id="609" w:name="xdx_49C_20260101__20260630_zPO1g5kP23E9"/>
            <w:bookmarkEnd w:id="609"/>
          </w:p>
        </w:tc>
        <w:tc>
          <w:tcPr>
            <w:tcW w:w="783"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S$’000  </w:t>
            </w:r>
          </w:p>
        </w:tc>
        <w:tc>
          <w:tcPr>
            <w:tcW w:w="75" w:type="dxa"/>
            <w:tcBorders/>
            <w:shd w:fill="FFFFFF" w:val="clear"/>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23"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For the Six Months Ended June 30, 2026</w:t>
            </w:r>
          </w:p>
        </w:tc>
        <w:tc>
          <w:tcPr>
            <w:tcW w:w="7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Swim fees</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Sales of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merchandise</w:t>
            </w:r>
          </w:p>
        </w:tc>
        <w:tc>
          <w:tcPr>
            <w:tcW w:w="10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0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Pickleball</w:t>
            </w:r>
          </w:p>
        </w:tc>
        <w:tc>
          <w:tcPr>
            <w:tcW w:w="15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center"/>
              <w:rPr/>
            </w:pPr>
            <w:r>
              <w:rPr/>
              <w:t> </w:t>
            </w:r>
          </w:p>
        </w:tc>
      </w:tr>
      <w:tr>
        <w:trPr/>
        <w:tc>
          <w:tcPr>
            <w:tcW w:w="17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center"/>
              <w:rPr/>
            </w:pPr>
            <w:r>
              <w:rPr/>
              <w:t>  </w:t>
            </w:r>
            <w:r>
              <w:rPr>
                <w:rFonts w:ascii="Times New Roman;Times;Serif" w:hAnsi="Times New Roman;Times;Serif"/>
                <w:b/>
                <w:sz w:val="20"/>
              </w:rPr>
              <w:t>S$’000</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S$’000    </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S$’000    </w:t>
            </w:r>
          </w:p>
        </w:tc>
        <w:tc>
          <w:tcPr>
            <w:tcW w:w="15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S$’000  </w:t>
            </w:r>
          </w:p>
        </w:tc>
        <w:tc>
          <w:tcPr>
            <w:tcW w:w="75" w:type="dxa"/>
            <w:tcBorders/>
            <w:shd w:fill="FFFFFF" w:val="clear"/>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bookmarkStart w:id="610" w:name="xdx_98B_eus-gaap--RevenueFromContractWit"/>
            <w:bookmarkEnd w:id="610"/>
          </w:p>
        </w:tc>
        <w:tc>
          <w:tcPr>
            <w:tcW w:w="947" w:type="dxa"/>
            <w:tcBorders/>
            <w:shd w:fill="CCEEFF" w:val="clear"/>
            <w:vAlign w:val="center"/>
          </w:tcPr>
          <w:p>
            <w:pPr>
              <w:pStyle w:val="TableContents"/>
              <w:bidi w:val="0"/>
              <w:spacing w:before="0" w:after="283"/>
              <w:jc w:val="right"/>
              <w:rPr/>
            </w:pPr>
            <w:r>
              <w:rPr/>
              <w:t>2,038</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bookmarkStart w:id="611" w:name="xdx_98C_eus-gaap--RevenueFromContractWit"/>
            <w:bookmarkEnd w:id="611"/>
          </w:p>
        </w:tc>
        <w:tc>
          <w:tcPr>
            <w:tcW w:w="955" w:type="dxa"/>
            <w:tcBorders/>
            <w:shd w:fill="CCEEFF" w:val="clear"/>
            <w:vAlign w:val="center"/>
          </w:tcPr>
          <w:p>
            <w:pPr>
              <w:pStyle w:val="TableContents"/>
              <w:bidi w:val="0"/>
              <w:spacing w:before="0" w:after="283"/>
              <w:jc w:val="right"/>
              <w:rPr/>
            </w:pPr>
            <w:r>
              <w:rPr/>
              <w:t>4</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bookmarkStart w:id="612" w:name="xdx_98B_eus-gaap--RevenueFromContractWit"/>
            <w:bookmarkEnd w:id="612"/>
          </w:p>
        </w:tc>
        <w:tc>
          <w:tcPr>
            <w:tcW w:w="884" w:type="dxa"/>
            <w:tcBorders/>
            <w:shd w:fill="CCEEFF" w:val="clear"/>
            <w:vAlign w:val="center"/>
          </w:tcPr>
          <w:p>
            <w:pPr>
              <w:pStyle w:val="TableContents"/>
              <w:bidi w:val="0"/>
              <w:spacing w:before="0" w:after="283"/>
              <w:jc w:val="right"/>
              <w:rPr/>
            </w:pPr>
            <w:r>
              <w:rPr/>
              <w:t>3</w:t>
            </w:r>
          </w:p>
        </w:tc>
        <w:tc>
          <w:tcPr>
            <w:tcW w:w="15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bookmarkStart w:id="613" w:name="xdx_98C_eus-gaap--RevenueFromContractWit"/>
            <w:bookmarkEnd w:id="613"/>
          </w:p>
        </w:tc>
        <w:tc>
          <w:tcPr>
            <w:tcW w:w="783" w:type="dxa"/>
            <w:tcBorders/>
            <w:shd w:fill="CCEEFF" w:val="clear"/>
            <w:vAlign w:val="center"/>
          </w:tcPr>
          <w:p>
            <w:pPr>
              <w:pStyle w:val="TableContents"/>
              <w:bidi w:val="0"/>
              <w:spacing w:before="0" w:after="283"/>
              <w:jc w:val="right"/>
              <w:rPr/>
            </w:pPr>
            <w:r>
              <w:rPr/>
              <w:t>2,045</w:t>
            </w:r>
          </w:p>
        </w:tc>
        <w:tc>
          <w:tcPr>
            <w:tcW w:w="75" w:type="dxa"/>
            <w:tcBorders/>
            <w:shd w:fill="CCEEFF"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283"/>
              <w:jc w:val="left"/>
              <w:rPr/>
            </w:pPr>
            <w:r>
              <w:rPr/>
              <w:t>Gross profit (loss)</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bookmarkStart w:id="614" w:name="xdx_98D_eus-gaap--GrossProfit_pn3n3_c202"/>
            <w:bookmarkEnd w:id="614"/>
          </w:p>
        </w:tc>
        <w:tc>
          <w:tcPr>
            <w:tcW w:w="947" w:type="dxa"/>
            <w:tcBorders/>
            <w:shd w:fill="FFFFFF" w:val="clear"/>
            <w:vAlign w:val="center"/>
          </w:tcPr>
          <w:p>
            <w:pPr>
              <w:pStyle w:val="TableContents"/>
              <w:bidi w:val="0"/>
              <w:spacing w:before="0" w:after="283"/>
              <w:jc w:val="right"/>
              <w:rPr/>
            </w:pPr>
            <w:r>
              <w:rPr/>
              <w:t>484</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bookmarkStart w:id="615" w:name="xdx_983_eus-gaap--GrossProfit_pn3n3_c202"/>
            <w:bookmarkEnd w:id="615"/>
          </w:p>
        </w:tc>
        <w:tc>
          <w:tcPr>
            <w:tcW w:w="955" w:type="dxa"/>
            <w:tcBorders/>
            <w:shd w:fill="FFFFFF" w:val="clear"/>
            <w:vAlign w:val="center"/>
          </w:tcPr>
          <w:p>
            <w:pPr>
              <w:pStyle w:val="TableContents"/>
              <w:bidi w:val="0"/>
              <w:spacing w:before="0" w:after="283"/>
              <w:jc w:val="right"/>
              <w:rPr/>
            </w:pPr>
            <w:r>
              <w:rPr/>
              <w:t>(38</w:t>
            </w:r>
          </w:p>
        </w:tc>
        <w:tc>
          <w:tcPr>
            <w:tcW w:w="107"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bookmarkStart w:id="616" w:name="xdx_983_eus-gaap--GrossProfit_c20260101_"/>
            <w:bookmarkEnd w:id="616"/>
          </w:p>
        </w:tc>
        <w:tc>
          <w:tcPr>
            <w:tcW w:w="884" w:type="dxa"/>
            <w:tcBorders/>
            <w:shd w:fill="FFFFFF" w:val="clear"/>
            <w:vAlign w:val="center"/>
          </w:tcPr>
          <w:p>
            <w:pPr>
              <w:pStyle w:val="TableContents"/>
              <w:bidi w:val="0"/>
              <w:spacing w:before="0" w:after="283"/>
              <w:jc w:val="right"/>
              <w:rPr/>
            </w:pPr>
            <w:r>
              <w:rPr/>
              <w:t>-</w:t>
            </w:r>
          </w:p>
        </w:tc>
        <w:tc>
          <w:tcPr>
            <w:tcW w:w="157"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bookmarkStart w:id="617" w:name="xdx_98C_eus-gaap--GrossProfit_pn3n3_c202"/>
            <w:bookmarkEnd w:id="617"/>
          </w:p>
        </w:tc>
        <w:tc>
          <w:tcPr>
            <w:tcW w:w="783" w:type="dxa"/>
            <w:tcBorders/>
            <w:shd w:fill="FFFFFF" w:val="clear"/>
            <w:vAlign w:val="center"/>
          </w:tcPr>
          <w:p>
            <w:pPr>
              <w:pStyle w:val="TableContents"/>
              <w:bidi w:val="0"/>
              <w:spacing w:before="0" w:after="283"/>
              <w:jc w:val="right"/>
              <w:rPr/>
            </w:pPr>
            <w:r>
              <w:rPr/>
              <w:t>446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503" w:type="dxa"/>
        <w:jc w:val="left"/>
        <w:tblInd w:w="0" w:type="dxa"/>
        <w:tblLayout w:type="fixed"/>
        <w:tblCellMar>
          <w:top w:w="0" w:type="dxa"/>
          <w:left w:w="0" w:type="dxa"/>
          <w:bottom w:w="0" w:type="dxa"/>
          <w:right w:w="0" w:type="dxa"/>
        </w:tblCellMar>
      </w:tblPr>
      <w:tblGrid>
        <w:gridCol w:w="200"/>
        <w:gridCol w:w="23"/>
        <w:gridCol w:w="1280"/>
      </w:tblGrid>
      <w:tr>
        <w:trPr/>
        <w:tc>
          <w:tcPr>
            <w:tcW w:w="200" w:type="dxa"/>
            <w:tcBorders/>
            <w:vAlign w:val="center"/>
          </w:tcPr>
          <w:p>
            <w:pPr>
              <w:pStyle w:val="TableContents"/>
              <w:bidi w:val="0"/>
              <w:spacing w:before="0" w:after="283"/>
              <w:jc w:val="right"/>
              <w:rPr>
                <w:rFonts w:ascii="Times New Roman;Times;Serif" w:hAnsi="Times New Roman;Times;Serif"/>
                <w:sz w:val="20"/>
              </w:rPr>
            </w:pPr>
            <w:bookmarkStart w:id="618" w:name="xdx_F02_zstUHriKcn7j"/>
            <w:bookmarkEnd w:id="618"/>
            <w:r>
              <w:rPr>
                <w:rFonts w:ascii="Times New Roman;Times;Serif" w:hAnsi="Times New Roman;Times;Serif"/>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both"/>
              <w:rPr>
                <w:rFonts w:ascii="Times New Roman;Times;Serif" w:hAnsi="Times New Roman;Times;Serif"/>
                <w:sz w:val="20"/>
              </w:rPr>
            </w:pPr>
            <w:bookmarkStart w:id="619" w:name="xdx_F14_zioPPTf8uyE8"/>
            <w:bookmarkEnd w:id="619"/>
            <w:r>
              <w:rPr>
                <w:rFonts w:ascii="Times New Roman;Times;Serif" w:hAnsi="Times New Roman;Times;Serif"/>
                <w:sz w:val="20"/>
              </w:rPr>
              <w:t>Below S$1,000</w:t>
            </w:r>
          </w:p>
        </w:tc>
      </w:tr>
    </w:tbl>
    <w:p>
      <w:pPr>
        <w:pStyle w:val="TextBody"/>
        <w:bidi w:val="0"/>
        <w:spacing w:before="0" w:after="0"/>
        <w:ind w:left="0" w:right="0" w:hanging="0"/>
        <w:jc w:val="both"/>
        <w:rPr>
          <w:caps w:val="false"/>
          <w:smallCaps w:val="false"/>
        </w:rPr>
      </w:pPr>
      <w:bookmarkStart w:id="620" w:name="xdx_8AF_zNA8BqgrC0hh"/>
      <w:bookmarkEnd w:id="62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21" w:name="xdx_89A_eus-gaap--RevenueFromExternalCus"/>
      <w:bookmarkEnd w:id="621"/>
      <w:r>
        <w:rPr>
          <w:rFonts w:ascii="Times New Roman;Times;Serif" w:hAnsi="Times New Roman;Times;Serif"/>
          <w:b w:val="false"/>
          <w:i w:val="false"/>
          <w:caps w:val="false"/>
          <w:smallCaps w:val="false"/>
          <w:sz w:val="20"/>
        </w:rPr>
        <w:t>Revenue by Geographic Segment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22" w:name="xdx_8B7_zHOrOwy4tXE"/>
      <w:bookmarkEnd w:id="622"/>
      <w:r>
        <w:rPr>
          <w:rFonts w:ascii="Times New Roman;Times;Serif" w:hAnsi="Times New Roman;Times;Serif"/>
          <w:b w:val="false"/>
          <w:i w:val="false"/>
          <w:caps w:val="false"/>
          <w:smallCaps w:val="false"/>
          <w:sz w:val="20"/>
        </w:rPr>
        <w:t>Schedule of revenue by geographic segment</w:t>
      </w:r>
    </w:p>
    <w:tbl>
      <w:tblPr>
        <w:tblW w:w="3291" w:type="dxa"/>
        <w:jc w:val="left"/>
        <w:tblInd w:w="0" w:type="dxa"/>
        <w:tblLayout w:type="fixed"/>
        <w:tblCellMar>
          <w:top w:w="0" w:type="dxa"/>
          <w:left w:w="0" w:type="dxa"/>
          <w:bottom w:w="0" w:type="dxa"/>
          <w:right w:w="0" w:type="dxa"/>
        </w:tblCellMar>
      </w:tblPr>
      <w:tblGrid>
        <w:gridCol w:w="905"/>
        <w:gridCol w:w="60"/>
        <w:gridCol w:w="107"/>
        <w:gridCol w:w="952"/>
        <w:gridCol w:w="107"/>
        <w:gridCol w:w="107"/>
        <w:gridCol w:w="107"/>
        <w:gridCol w:w="871"/>
        <w:gridCol w:w="75"/>
      </w:tblGrid>
      <w:tr>
        <w:trPr/>
        <w:tc>
          <w:tcPr>
            <w:tcW w:w="90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623" w:name="xdx_491_20250101__20250630_zdUfngZqjZl"/>
            <w:bookmarkEnd w:id="623"/>
          </w:p>
        </w:tc>
        <w:tc>
          <w:tcPr>
            <w:tcW w:w="10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c>
          <w:tcPr>
            <w:tcW w:w="107" w:type="dxa"/>
            <w:tcBorders/>
            <w:vAlign w:val="center"/>
          </w:tcPr>
          <w:p>
            <w:pPr>
              <w:pStyle w:val="TableContents"/>
              <w:bidi w:val="0"/>
              <w:spacing w:before="0" w:after="283"/>
              <w:jc w:val="left"/>
              <w:rPr>
                <w:caps w:val="false"/>
                <w:smallCaps w:val="false"/>
              </w:rPr>
            </w:pPr>
            <w:r>
              <w:rPr>
                <w:caps w:val="false"/>
                <w:smallCaps w:val="false"/>
              </w:rPr>
              <w:t> </w:t>
            </w:r>
            <w:bookmarkStart w:id="624" w:name="xdx_49D_20260101__20260630_zzdjX3sG2x36"/>
            <w:bookmarkEnd w:id="624"/>
          </w:p>
        </w:tc>
        <w:tc>
          <w:tcPr>
            <w:tcW w:w="9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0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1"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Six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0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c>
          <w:tcPr>
            <w:tcW w:w="9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0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c>
          <w:tcPr>
            <w:tcW w:w="97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75" w:type="dxa"/>
            <w:tcBorders/>
            <w:vAlign w:val="center"/>
          </w:tcPr>
          <w:p>
            <w:pPr>
              <w:pStyle w:val="TableContents"/>
              <w:bidi w:val="0"/>
              <w:spacing w:before="0" w:after="283"/>
              <w:jc w:val="left"/>
              <w:rPr>
                <w:caps w:val="false"/>
                <w:smallCaps w:val="false"/>
              </w:rPr>
            </w:pPr>
            <w:r>
              <w:rPr>
                <w:caps w:val="false"/>
                <w:smallCaps w:val="false"/>
              </w:rPr>
              <w:t> </w:t>
            </w:r>
            <w:bookmarkStart w:id="625" w:name="xdx_40A_eus-gaap--RevenueFromContractWit"/>
            <w:bookmarkEnd w:id="625"/>
          </w:p>
        </w:tc>
      </w:tr>
      <w:tr>
        <w:trPr/>
        <w:tc>
          <w:tcPr>
            <w:tcW w:w="9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Singapore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2,162</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26" w:name="xdx_40B_eus-gaap--RevenueFromContractWit"/>
            <w:bookmarkEnd w:id="626"/>
          </w:p>
        </w:tc>
      </w:tr>
      <w:tr>
        <w:trPr/>
        <w:tc>
          <w:tcPr>
            <w:tcW w:w="9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Dubai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27" w:name="xdx_40D_eus-gaap--RevenueFromContractWit"/>
            <w:bookmarkEnd w:id="627"/>
          </w:p>
        </w:tc>
      </w:tr>
      <w:tr>
        <w:trPr/>
        <w:tc>
          <w:tcPr>
            <w:tcW w:w="905" w:type="dxa"/>
            <w:tcBorders/>
            <w:shd w:fill="CCEEFF" w:val="clear"/>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2,162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628" w:name="xdx_8AE_zSrq2wo8nGpb"/>
      <w:bookmarkEnd w:id="628"/>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9" w:name="xdx_80C_eus-gaap--IncomeTaxDisclosureTex"/>
      <w:bookmarkEnd w:id="629"/>
      <w:r>
        <w:rPr>
          <w:rFonts w:ascii="Times New Roman;Times;Serif" w:hAnsi="Times New Roman;Times;Serif"/>
          <w:b/>
          <w:i w:val="false"/>
          <w:caps w:val="false"/>
          <w:smallCaps w:val="false"/>
          <w:sz w:val="20"/>
        </w:rPr>
        <w:t xml:space="preserve">Note 14 - </w:t>
      </w:r>
      <w:bookmarkStart w:id="630" w:name="xdx_824_zpN9slo5Amah"/>
      <w:bookmarkEnd w:id="630"/>
      <w:r>
        <w:rPr>
          <w:rFonts w:ascii="Times New Roman;Times;Serif" w:hAnsi="Times New Roman;Times;Serif"/>
          <w:b/>
          <w:i w:val="false"/>
          <w:caps w:val="false"/>
          <w:smallCaps w:val="false"/>
          <w:sz w:val="20"/>
        </w:rPr>
        <w:t>Income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31" w:name="xdx_896_eus-gaap--ScheduleOfComponentsOf"/>
      <w:bookmarkEnd w:id="631"/>
      <w:r>
        <w:rPr>
          <w:rFonts w:ascii="Times New Roman;Times;Serif" w:hAnsi="Times New Roman;Times;Serif"/>
          <w:b w:val="false"/>
          <w:i w:val="false"/>
          <w:caps w:val="false"/>
          <w:smallCaps w:val="false"/>
          <w:sz w:val="20"/>
        </w:rPr>
        <w:t>The provision for income taxes consisted of the following:</w:t>
      </w:r>
    </w:p>
    <w:p>
      <w:pPr>
        <w:pStyle w:val="TextBody"/>
        <w:bidi w:val="0"/>
        <w:spacing w:before="0" w:after="0"/>
        <w:ind w:left="0" w:right="0" w:hanging="0"/>
        <w:jc w:val="both"/>
        <w:rPr>
          <w:caps w:val="false"/>
          <w:smallCaps w:val="false"/>
        </w:rPr>
      </w:pPr>
      <w:r>
        <w:rPr>
          <w:caps w:val="false"/>
          <w:smallCaps w:val="false"/>
        </w:rPr>
        <w:t> </w:t>
      </w:r>
      <w:bookmarkStart w:id="632" w:name="xdx_8BE_z1X6qFtQrkPa"/>
      <w:bookmarkEnd w:id="632"/>
      <w:r>
        <w:rPr>
          <w:rFonts w:ascii="Times New Roman;Times;Serif" w:hAnsi="Times New Roman;Times;Serif"/>
          <w:b w:val="false"/>
          <w:i w:val="false"/>
          <w:caps w:val="false"/>
          <w:smallCaps w:val="false"/>
          <w:sz w:val="20"/>
        </w:rPr>
        <w:t>Schedule of provision for income tax</w:t>
      </w:r>
    </w:p>
    <w:tbl>
      <w:tblPr>
        <w:tblW w:w="5847" w:type="dxa"/>
        <w:jc w:val="left"/>
        <w:tblInd w:w="0" w:type="dxa"/>
        <w:tblLayout w:type="fixed"/>
        <w:tblCellMar>
          <w:top w:w="0" w:type="dxa"/>
          <w:left w:w="0" w:type="dxa"/>
          <w:bottom w:w="0" w:type="dxa"/>
          <w:right w:w="0" w:type="dxa"/>
        </w:tblCellMar>
      </w:tblPr>
      <w:tblGrid>
        <w:gridCol w:w="2690"/>
        <w:gridCol w:w="60"/>
        <w:gridCol w:w="124"/>
        <w:gridCol w:w="1253"/>
        <w:gridCol w:w="124"/>
        <w:gridCol w:w="124"/>
        <w:gridCol w:w="124"/>
        <w:gridCol w:w="1253"/>
        <w:gridCol w:w="95"/>
      </w:tblGrid>
      <w:tr>
        <w:trPr/>
        <w:tc>
          <w:tcPr>
            <w:tcW w:w="26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633" w:name="xdx_496_20250101__20250630_zwEsymgYG8N2"/>
            <w:bookmarkEnd w:id="633"/>
          </w:p>
        </w:tc>
        <w:tc>
          <w:tcPr>
            <w:tcW w:w="137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24" w:type="dxa"/>
            <w:tcBorders/>
            <w:vAlign w:val="center"/>
          </w:tcPr>
          <w:p>
            <w:pPr>
              <w:pStyle w:val="TableContents"/>
              <w:bidi w:val="0"/>
              <w:spacing w:before="0" w:after="283"/>
              <w:jc w:val="left"/>
              <w:rPr>
                <w:caps w:val="false"/>
                <w:smallCaps w:val="false"/>
              </w:rPr>
            </w:pPr>
            <w:r>
              <w:rPr>
                <w:caps w:val="false"/>
                <w:smallCaps w:val="false"/>
              </w:rPr>
              <w:t> </w:t>
            </w:r>
          </w:p>
        </w:tc>
        <w:tc>
          <w:tcPr>
            <w:tcW w:w="124" w:type="dxa"/>
            <w:tcBorders/>
            <w:vAlign w:val="center"/>
          </w:tcPr>
          <w:p>
            <w:pPr>
              <w:pStyle w:val="TableContents"/>
              <w:bidi w:val="0"/>
              <w:spacing w:before="0" w:after="283"/>
              <w:jc w:val="left"/>
              <w:rPr>
                <w:caps w:val="false"/>
                <w:smallCaps w:val="false"/>
              </w:rPr>
            </w:pPr>
            <w:r>
              <w:rPr>
                <w:caps w:val="false"/>
                <w:smallCaps w:val="false"/>
              </w:rPr>
              <w:t> </w:t>
            </w:r>
            <w:bookmarkStart w:id="634" w:name="xdx_491_20260101__20260630_zPWQTrnZ2qQ2"/>
            <w:bookmarkEnd w:id="634"/>
          </w:p>
        </w:tc>
        <w:tc>
          <w:tcPr>
            <w:tcW w:w="137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0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7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24" w:type="dxa"/>
            <w:tcBorders/>
            <w:vAlign w:val="center"/>
          </w:tcPr>
          <w:p>
            <w:pPr>
              <w:pStyle w:val="TableContents"/>
              <w:bidi w:val="0"/>
              <w:spacing w:before="0" w:after="283"/>
              <w:jc w:val="left"/>
              <w:rPr>
                <w:caps w:val="false"/>
                <w:smallCaps w:val="false"/>
              </w:rPr>
            </w:pPr>
            <w:r>
              <w:rPr>
                <w:caps w:val="false"/>
                <w:smallCaps w:val="false"/>
              </w:rPr>
              <w:t> </w:t>
            </w:r>
          </w:p>
        </w:tc>
        <w:tc>
          <w:tcPr>
            <w:tcW w:w="124" w:type="dxa"/>
            <w:tcBorders/>
            <w:vAlign w:val="center"/>
          </w:tcPr>
          <w:p>
            <w:pPr>
              <w:pStyle w:val="TableContents"/>
              <w:bidi w:val="0"/>
              <w:spacing w:before="0" w:after="283"/>
              <w:jc w:val="left"/>
              <w:rPr>
                <w:caps w:val="false"/>
                <w:smallCaps w:val="false"/>
              </w:rPr>
            </w:pPr>
            <w:r>
              <w:rPr>
                <w:caps w:val="false"/>
                <w:smallCaps w:val="false"/>
              </w:rPr>
              <w:t> </w:t>
            </w:r>
          </w:p>
        </w:tc>
        <w:tc>
          <w:tcPr>
            <w:tcW w:w="137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3"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3"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35" w:name="xdx_40A_eus-gaap--CurrentIncomeTaxExpens"/>
            <w:bookmarkEnd w:id="635"/>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year 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36" w:name="xdx_403_eus-gaap--OtherTaxExpenseBenefit"/>
            <w:bookmarkEnd w:id="636"/>
          </w:p>
        </w:tc>
      </w:tr>
      <w:tr>
        <w:trPr/>
        <w:tc>
          <w:tcPr>
            <w:tcW w:w="2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Over-provision in prior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37" w:name="xdx_404_eus-gaap--IncomeTaxExpenseBenefi"/>
            <w:bookmarkEnd w:id="637"/>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bookmarkStart w:id="638" w:name="xdx_8A0_z8pTZyAgAGB5"/>
      <w:bookmarkEnd w:id="63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tax rate in the periods presented is the result of the mix of income earned in various tax jurisdictions that apply a broad range of income tax rate. Our Company’s subsidiaries mainly operate in Singapore that are subject to taxes in the jurisdictions in which they operate,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Fitness Champs Holdings Limited is an exempted Cayman Islands company and is presently not subject to income taxes or income tax filing requirements in the Cayman Islands or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BVI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Northen Star Limited is an exempted British Virgin Islands company and is presently not subject to income taxes or income tax filing requirements in the British Virgin Islands or the United States.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Dubai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Fitness Champs Excellence Sports Academy LLC is operating in Dubai and is subject to the Dubai tax law at the corporate tax rate at </w:t>
      </w:r>
      <w:bookmarkStart w:id="639" w:name="xdx_90E_eus-gaap--EffectiveIncomeTaxRate"/>
      <w:bookmarkEnd w:id="639"/>
      <w:r>
        <w:rPr>
          <w:rFonts w:ascii="Times New Roman;Times;Serif" w:hAnsi="Times New Roman;Times;Serif"/>
          <w:b w:val="false"/>
          <w:i w:val="false"/>
          <w:caps w:val="false"/>
          <w:smallCaps w:val="false"/>
          <w:sz w:val="20"/>
        </w:rPr>
        <w:t>9% on the assessable income arising in Dubai during its tax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operation in Dubai incurred S$</w:t>
      </w:r>
      <w:bookmarkStart w:id="640" w:name="xdx_90A_eus-gaap--OperatingLossCarryforw"/>
      <w:bookmarkEnd w:id="640"/>
      <w:r>
        <w:rPr>
          <w:rFonts w:ascii="Times New Roman;Times;Serif" w:hAnsi="Times New Roman;Times;Serif"/>
          <w:b w:val="false"/>
          <w:i w:val="false"/>
          <w:caps w:val="false"/>
          <w:smallCaps w:val="false"/>
          <w:sz w:val="20"/>
        </w:rPr>
        <w:t>243,000 (2025: S$</w:t>
      </w:r>
      <w:bookmarkStart w:id="641" w:name="xdx_90F_eus-gaap--OperatingLossCarryforw"/>
      <w:bookmarkEnd w:id="641"/>
      <w:r>
        <w:rPr>
          <w:rFonts w:ascii="Times New Roman;Times;Serif" w:hAnsi="Times New Roman;Times;Serif"/>
          <w:b w:val="false"/>
          <w:i w:val="false"/>
          <w:caps w:val="false"/>
          <w:smallCaps w:val="false"/>
          <w:sz w:val="20"/>
        </w:rPr>
        <w:t>160,000) of cumulative net operating losses which can be carried forward to offset future taxable income. The net operating loss carryforwards has no expiration. The Company has provided for a full valuation allowance against the deferred tax assets of S$</w:t>
      </w:r>
      <w:bookmarkStart w:id="642" w:name="xdx_901_eus-gaap--DeferredTaxAssetsValua"/>
      <w:bookmarkEnd w:id="642"/>
      <w:r>
        <w:rPr>
          <w:rFonts w:ascii="Times New Roman;Times;Serif" w:hAnsi="Times New Roman;Times;Serif"/>
          <w:b w:val="false"/>
          <w:i w:val="false"/>
          <w:caps w:val="false"/>
          <w:smallCaps w:val="false"/>
          <w:sz w:val="20"/>
        </w:rPr>
        <w:t>22,000 (2025: S$</w:t>
      </w:r>
      <w:bookmarkStart w:id="643" w:name="xdx_90C_eus-gaap--DeferredTaxAssetsValua"/>
      <w:bookmarkEnd w:id="643"/>
      <w:r>
        <w:rPr>
          <w:rFonts w:ascii="Times New Roman;Times;Serif" w:hAnsi="Times New Roman;Times;Serif"/>
          <w:b w:val="false"/>
          <w:i w:val="false"/>
          <w:caps w:val="false"/>
          <w:smallCaps w:val="false"/>
          <w:sz w:val="20"/>
        </w:rPr>
        <w:t>160,000) on the expected future tax benefits from the net operating loss carryforwards as the management believes it is more likely than not that these assets will not be realized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Fitness Champs Aquatics Pte Ltd and Fitness Champs Pte Ltd are operating in Singapore and are subject to the Singapore tax law at the corporate tax rate at </w:t>
      </w:r>
      <w:bookmarkStart w:id="644" w:name="xdx_90D_eus-gaap--EffectiveIncomeTaxRate"/>
      <w:bookmarkEnd w:id="644"/>
      <w:r>
        <w:rPr>
          <w:rFonts w:ascii="Times New Roman;Times;Serif" w:hAnsi="Times New Roman;Times;Serif"/>
          <w:b w:val="false"/>
          <w:i w:val="false"/>
          <w:caps w:val="false"/>
          <w:smallCaps w:val="false"/>
          <w:sz w:val="20"/>
        </w:rPr>
        <w:t>17% on the assessable income arising in Singapore during its tax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operation in Singapore incurred S$</w:t>
      </w:r>
      <w:bookmarkStart w:id="645" w:name="xdx_90F_eus-gaap--DeferredTaxAssetsOther"/>
      <w:bookmarkEnd w:id="645"/>
      <w:r>
        <w:rPr>
          <w:rFonts w:ascii="Times New Roman;Times;Serif" w:hAnsi="Times New Roman;Times;Serif"/>
          <w:b w:val="false"/>
          <w:i w:val="false"/>
          <w:caps w:val="false"/>
          <w:smallCaps w:val="false"/>
          <w:sz w:val="20"/>
        </w:rPr>
        <w:t>544,000 (December 31, 2025: S$</w:t>
      </w:r>
      <w:bookmarkStart w:id="646" w:name="xdx_904_eus-gaap--DeferredTaxAssetsOther"/>
      <w:bookmarkEnd w:id="646"/>
      <w:r>
        <w:rPr>
          <w:rFonts w:ascii="Times New Roman;Times;Serif" w:hAnsi="Times New Roman;Times;Serif"/>
          <w:b w:val="false"/>
          <w:i w:val="false"/>
          <w:caps w:val="false"/>
          <w:smallCaps w:val="false"/>
          <w:sz w:val="20"/>
        </w:rPr>
        <w:t>918,000) of cumulative net operating losses which can be carried forward to offset future taxable income. The net operating loss carry forwards has no expiration.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provided for a full valuation allowance against the deferred tax assets of S$</w:t>
      </w:r>
      <w:bookmarkStart w:id="647" w:name="xdx_900_eus-gaap--DeferredTaxAssetsGross"/>
      <w:bookmarkEnd w:id="647"/>
      <w:r>
        <w:rPr>
          <w:rFonts w:ascii="Times New Roman;Times;Serif" w:hAnsi="Times New Roman;Times;Serif"/>
          <w:b w:val="false"/>
          <w:i w:val="false"/>
          <w:caps w:val="false"/>
          <w:smallCaps w:val="false"/>
          <w:sz w:val="20"/>
        </w:rPr>
        <w:t>92,000 (December 31, 2025: S$</w:t>
      </w:r>
      <w:bookmarkStart w:id="648" w:name="xdx_903_eus-gaap--DeferredTaxAssetsGross"/>
      <w:bookmarkEnd w:id="648"/>
      <w:r>
        <w:rPr>
          <w:rFonts w:ascii="Times New Roman;Times;Serif" w:hAnsi="Times New Roman;Times;Serif"/>
          <w:b w:val="false"/>
          <w:i w:val="false"/>
          <w:caps w:val="false"/>
          <w:smallCaps w:val="false"/>
          <w:sz w:val="20"/>
        </w:rPr>
        <w:t>156,000) on the expected future tax benefits from the net operating loss carry forwards as the management believes it is more likely than not that these assets will not be realized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for income tax expenses as we did not have taxable profits for the six months ended June 30, 2025 and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49" w:name="xdx_892_eus-gaap--ScheduleOfEffectiveInc"/>
      <w:bookmarkEnd w:id="649"/>
      <w:r>
        <w:rPr>
          <w:rFonts w:ascii="Times New Roman;Times;Serif" w:hAnsi="Times New Roman;Times;Serif"/>
          <w:b w:val="false"/>
          <w:i w:val="false"/>
          <w:caps w:val="false"/>
          <w:smallCaps w:val="false"/>
          <w:sz w:val="20"/>
        </w:rPr>
        <w:t>The reconciliation of income tax rate to the effective income tax rate based on income before income taxes for the six months ended June 30, 2025 and 2026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bookmarkStart w:id="650" w:name="xdx_8BD_zgE3RVsGolw7"/>
      <w:bookmarkEnd w:id="650"/>
      <w:r>
        <w:rPr>
          <w:rFonts w:ascii="Times New Roman;Times;Serif" w:hAnsi="Times New Roman;Times;Serif"/>
          <w:b w:val="false"/>
          <w:i w:val="false"/>
          <w:caps w:val="false"/>
          <w:smallCaps w:val="false"/>
          <w:sz w:val="20"/>
        </w:rPr>
        <w:t>Schedule of reconciliation of income tax rate</w:t>
      </w:r>
    </w:p>
    <w:tbl>
      <w:tblPr>
        <w:tblW w:w="6488" w:type="dxa"/>
        <w:jc w:val="left"/>
        <w:tblInd w:w="0" w:type="dxa"/>
        <w:tblLayout w:type="fixed"/>
        <w:tblCellMar>
          <w:top w:w="0" w:type="dxa"/>
          <w:left w:w="0" w:type="dxa"/>
          <w:bottom w:w="0" w:type="dxa"/>
          <w:right w:w="0" w:type="dxa"/>
        </w:tblCellMar>
      </w:tblPr>
      <w:tblGrid>
        <w:gridCol w:w="4475"/>
        <w:gridCol w:w="60"/>
        <w:gridCol w:w="84"/>
        <w:gridCol w:w="640"/>
        <w:gridCol w:w="215"/>
        <w:gridCol w:w="60"/>
        <w:gridCol w:w="62"/>
        <w:gridCol w:w="662"/>
        <w:gridCol w:w="230"/>
      </w:tblGrid>
      <w:tr>
        <w:trPr/>
        <w:tc>
          <w:tcPr>
            <w:tcW w:w="44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651" w:name="xdx_49E_20250101__20250630_zAAUil777bc4"/>
            <w:bookmarkEnd w:id="651"/>
          </w:p>
        </w:tc>
        <w:tc>
          <w:tcPr>
            <w:tcW w:w="72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52" w:name="xdx_492_20260101__20260630_zGO3SfjvIOX5"/>
            <w:bookmarkEnd w:id="652"/>
          </w:p>
        </w:tc>
        <w:tc>
          <w:tcPr>
            <w:tcW w:w="72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30"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24" w:type="dxa"/>
            <w:gridSpan w:val="2"/>
            <w:tcBorders/>
            <w:vAlign w:val="center"/>
          </w:tcPr>
          <w:p>
            <w:pPr>
              <w:pStyle w:val="TableContents"/>
              <w:bidi w:val="0"/>
              <w:spacing w:before="0" w:after="283"/>
              <w:jc w:val="center"/>
              <w:rPr>
                <w:b/>
              </w:rPr>
            </w:pPr>
            <w:r>
              <w:rPr>
                <w:b/>
              </w:rPr>
              <w:t>S$’000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4" w:type="dxa"/>
            <w:gridSpan w:val="2"/>
            <w:tcBorders/>
            <w:vAlign w:val="center"/>
          </w:tcPr>
          <w:p>
            <w:pPr>
              <w:pStyle w:val="TableContents"/>
              <w:bidi w:val="0"/>
              <w:spacing w:before="0" w:after="283"/>
              <w:jc w:val="center"/>
              <w:rPr>
                <w:b/>
              </w:rPr>
            </w:pPr>
            <w:r>
              <w:rPr>
                <w:b/>
              </w:rPr>
              <w:t>S$’000</w:t>
            </w:r>
          </w:p>
        </w:tc>
        <w:tc>
          <w:tcPr>
            <w:tcW w:w="230" w:type="dxa"/>
            <w:tcBorders/>
            <w:vAlign w:val="center"/>
          </w:tcPr>
          <w:p>
            <w:pPr>
              <w:pStyle w:val="TableContents"/>
              <w:bidi w:val="0"/>
              <w:spacing w:before="0" w:after="283"/>
              <w:jc w:val="left"/>
              <w:rPr/>
            </w:pPr>
            <w:r>
              <w:rPr/>
              <w:t> </w:t>
            </w:r>
            <w:bookmarkStart w:id="653" w:name="xdx_403_eus-gaap--IncomeLossFromContinui"/>
            <w:bookmarkEnd w:id="653"/>
          </w:p>
        </w:tc>
      </w:tr>
      <w:tr>
        <w:trPr/>
        <w:tc>
          <w:tcPr>
            <w:tcW w:w="4475" w:type="dxa"/>
            <w:tcBorders/>
            <w:shd w:fill="CCEEFF" w:val="clear"/>
            <w:vAlign w:val="center"/>
          </w:tcPr>
          <w:p>
            <w:pPr>
              <w:pStyle w:val="TableContents"/>
              <w:bidi w:val="0"/>
              <w:spacing w:before="0" w:after="283"/>
              <w:jc w:val="both"/>
              <w:rPr/>
            </w:pPr>
            <w:r>
              <w:rPr/>
              <w:t>Net loss before income taxes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(248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pPr>
            <w:r>
              <w:rPr/>
              <w:t>(3,394</w:t>
            </w:r>
          </w:p>
        </w:tc>
        <w:tc>
          <w:tcPr>
            <w:tcW w:w="230" w:type="dxa"/>
            <w:tcBorders/>
            <w:shd w:fill="CCEEFF" w:val="clear"/>
            <w:vAlign w:val="center"/>
          </w:tcPr>
          <w:p>
            <w:pPr>
              <w:pStyle w:val="TableContents"/>
              <w:bidi w:val="0"/>
              <w:spacing w:before="0" w:after="283"/>
              <w:jc w:val="left"/>
              <w:rPr/>
            </w:pPr>
            <w:r>
              <w:rPr/>
              <w:t>)</w:t>
            </w:r>
            <w:bookmarkStart w:id="654" w:name="xdx_406_eus-gaap--IncomeTaxReconciliatio"/>
            <w:bookmarkEnd w:id="654"/>
          </w:p>
        </w:tc>
      </w:tr>
      <w:tr>
        <w:trPr/>
        <w:tc>
          <w:tcPr>
            <w:tcW w:w="4475" w:type="dxa"/>
            <w:tcBorders/>
            <w:shd w:fill="FFFFFF" w:val="clear"/>
            <w:vAlign w:val="center"/>
          </w:tcPr>
          <w:p>
            <w:pPr>
              <w:pStyle w:val="TableContents"/>
              <w:bidi w:val="0"/>
              <w:spacing w:before="0" w:after="283"/>
              <w:jc w:val="both"/>
              <w:rPr/>
            </w:pPr>
            <w:r>
              <w:rPr/>
              <w:t xml:space="preserve">Income tax expense at Cayman </w:t>
            </w:r>
            <w:bookmarkStart w:id="655" w:name="xdx_905_eus-gaap--TaxJurisdictionOfDomic"/>
            <w:bookmarkStart w:id="656" w:name="xdx_903_eus-gaap--TaxJurisdictionOfDomic"/>
            <w:bookmarkEnd w:id="655"/>
            <w:bookmarkEnd w:id="656"/>
            <w:r>
              <w:rPr/>
              <w:t>statutory rate</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both"/>
              <w:rPr/>
            </w:pPr>
            <w:r>
              <w:rPr/>
              <w:t>Effect of foreign tax rates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bookmarkStart w:id="657" w:name="xdx_98C_eus-gaap--EffectiveIncomeTaxRate"/>
            <w:bookmarkEnd w:id="657"/>
          </w:p>
        </w:tc>
        <w:tc>
          <w:tcPr>
            <w:tcW w:w="640" w:type="dxa"/>
            <w:tcBorders/>
            <w:shd w:fill="CCEEFF" w:val="clear"/>
            <w:vAlign w:val="center"/>
          </w:tcPr>
          <w:p>
            <w:pPr>
              <w:pStyle w:val="TableContents"/>
              <w:bidi w:val="0"/>
              <w:spacing w:before="0" w:after="283"/>
              <w:jc w:val="right"/>
              <w:rPr/>
            </w:pPr>
            <w:r>
              <w:rPr/>
              <w:t>17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658" w:name="xdx_98D_eus-gaap--EffectiveIncomeTaxRate"/>
            <w:bookmarkEnd w:id="658"/>
          </w:p>
        </w:tc>
        <w:tc>
          <w:tcPr>
            <w:tcW w:w="662" w:type="dxa"/>
            <w:tcBorders/>
            <w:shd w:fill="CCEEFF" w:val="clear"/>
            <w:vAlign w:val="center"/>
          </w:tcPr>
          <w:p>
            <w:pPr>
              <w:pStyle w:val="TableContents"/>
              <w:bidi w:val="0"/>
              <w:spacing w:before="0" w:after="283"/>
              <w:jc w:val="right"/>
              <w:rPr/>
            </w:pPr>
            <w:r>
              <w:rPr/>
              <w:t>17</w:t>
            </w:r>
          </w:p>
        </w:tc>
        <w:tc>
          <w:tcPr>
            <w:tcW w:w="230" w:type="dxa"/>
            <w:tcBorders/>
            <w:shd w:fill="CCEEFF" w:val="clear"/>
            <w:vAlign w:val="center"/>
          </w:tcPr>
          <w:p>
            <w:pPr>
              <w:pStyle w:val="TableContents"/>
              <w:bidi w:val="0"/>
              <w:spacing w:before="0" w:after="283"/>
              <w:jc w:val="left"/>
              <w:rPr/>
            </w:pPr>
            <w:r>
              <w:rPr/>
              <w:t>%</w:t>
            </w:r>
            <w:bookmarkStart w:id="659" w:name="xdx_40D_eus-gaap--IncomeTaxReconciliatio"/>
            <w:bookmarkEnd w:id="659"/>
          </w:p>
        </w:tc>
      </w:tr>
      <w:tr>
        <w:trPr/>
        <w:tc>
          <w:tcPr>
            <w:tcW w:w="4475" w:type="dxa"/>
            <w:tcBorders/>
            <w:shd w:fill="FFFFFF" w:val="clear"/>
            <w:vAlign w:val="center"/>
          </w:tcPr>
          <w:p>
            <w:pPr>
              <w:pStyle w:val="TableContents"/>
              <w:bidi w:val="0"/>
              <w:spacing w:before="0" w:after="283"/>
              <w:jc w:val="both"/>
              <w:rPr/>
            </w:pPr>
            <w:r>
              <w:rPr/>
              <w:t>Income tax expense at statutory rate</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(42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pPr>
            <w:r>
              <w:rPr/>
              <w:t>(577</w:t>
            </w:r>
          </w:p>
        </w:tc>
        <w:tc>
          <w:tcPr>
            <w:tcW w:w="230" w:type="dxa"/>
            <w:tcBorders/>
            <w:shd w:fill="FFFFFF" w:val="clear"/>
            <w:vAlign w:val="center"/>
          </w:tcPr>
          <w:p>
            <w:pPr>
              <w:pStyle w:val="TableContents"/>
              <w:bidi w:val="0"/>
              <w:spacing w:before="0" w:after="283"/>
              <w:jc w:val="left"/>
              <w:rPr/>
            </w:pPr>
            <w:r>
              <w:rPr/>
              <w:t>)</w:t>
            </w:r>
            <w:bookmarkStart w:id="660" w:name="xdx_403_eus-gaap--IncomeTaxReconciliatio"/>
            <w:bookmarkEnd w:id="660"/>
          </w:p>
        </w:tc>
      </w:tr>
      <w:tr>
        <w:trPr/>
        <w:tc>
          <w:tcPr>
            <w:tcW w:w="4475" w:type="dxa"/>
            <w:tcBorders/>
            <w:shd w:fill="CCEEFF" w:val="clear"/>
            <w:vAlign w:val="center"/>
          </w:tcPr>
          <w:p>
            <w:pPr>
              <w:pStyle w:val="TableContents"/>
              <w:bidi w:val="0"/>
              <w:spacing w:before="0" w:after="283"/>
              <w:jc w:val="both"/>
              <w:rPr/>
            </w:pPr>
            <w:r>
              <w:rPr/>
              <w:t>Effect of lower tax rates in foreign jurisdictions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pPr>
            <w:r>
              <w:rPr/>
              <w:t>449</w:t>
            </w:r>
          </w:p>
        </w:tc>
        <w:tc>
          <w:tcPr>
            <w:tcW w:w="230" w:type="dxa"/>
            <w:tcBorders/>
            <w:shd w:fill="CCEEFF" w:val="clear"/>
            <w:vAlign w:val="center"/>
          </w:tcPr>
          <w:p>
            <w:pPr>
              <w:pStyle w:val="TableContents"/>
              <w:bidi w:val="0"/>
              <w:spacing w:before="0" w:after="283"/>
              <w:jc w:val="left"/>
              <w:rPr/>
            </w:pPr>
            <w:r>
              <w:rPr/>
              <w:t> </w:t>
            </w:r>
            <w:bookmarkStart w:id="661" w:name="xdx_40E_eus-gaap--IncomeTaxReconciliatio"/>
            <w:bookmarkEnd w:id="661"/>
          </w:p>
        </w:tc>
      </w:tr>
      <w:tr>
        <w:trPr/>
        <w:tc>
          <w:tcPr>
            <w:tcW w:w="4475" w:type="dxa"/>
            <w:tcBorders/>
            <w:shd w:fill="FFFFFF" w:val="clear"/>
            <w:vAlign w:val="center"/>
          </w:tcPr>
          <w:p>
            <w:pPr>
              <w:pStyle w:val="TableContents"/>
              <w:bidi w:val="0"/>
              <w:spacing w:before="0" w:after="283"/>
              <w:jc w:val="both"/>
              <w:rPr/>
            </w:pPr>
            <w:r>
              <w:rPr/>
              <w:t>Tax effect on non-deductible expenses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pPr>
            <w:r>
              <w:rPr/>
              <w:t>14</w:t>
            </w:r>
          </w:p>
        </w:tc>
        <w:tc>
          <w:tcPr>
            <w:tcW w:w="230" w:type="dxa"/>
            <w:tcBorders/>
            <w:shd w:fill="FFFFFF" w:val="clear"/>
            <w:vAlign w:val="center"/>
          </w:tcPr>
          <w:p>
            <w:pPr>
              <w:pStyle w:val="TableContents"/>
              <w:bidi w:val="0"/>
              <w:spacing w:before="0" w:after="283"/>
              <w:jc w:val="left"/>
              <w:rPr/>
            </w:pPr>
            <w:r>
              <w:rPr/>
              <w:t> </w:t>
            </w:r>
            <w:bookmarkStart w:id="662" w:name="xdx_40F_eus-gaap--EffectiveIncomeTaxRate"/>
            <w:bookmarkEnd w:id="662"/>
          </w:p>
        </w:tc>
      </w:tr>
      <w:tr>
        <w:trPr/>
        <w:tc>
          <w:tcPr>
            <w:tcW w:w="4475" w:type="dxa"/>
            <w:tcBorders/>
            <w:shd w:fill="CCEEFF" w:val="clear"/>
            <w:vAlign w:val="center"/>
          </w:tcPr>
          <w:p>
            <w:pPr>
              <w:pStyle w:val="TableContents"/>
              <w:bidi w:val="0"/>
              <w:spacing w:before="0" w:after="283"/>
              <w:jc w:val="both"/>
              <w:rPr/>
            </w:pPr>
            <w:r>
              <w:rPr/>
              <w:t>Tax effect on non-taxable income</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bookmarkStart w:id="663" w:name="xdx_405_ecustom--IncomeTaxCorporateRebat"/>
            <w:bookmarkEnd w:id="663"/>
          </w:p>
        </w:tc>
      </w:tr>
      <w:tr>
        <w:trPr/>
        <w:tc>
          <w:tcPr>
            <w:tcW w:w="4475" w:type="dxa"/>
            <w:tcBorders/>
            <w:shd w:fill="FFFFFF" w:val="clear"/>
            <w:vAlign w:val="center"/>
          </w:tcPr>
          <w:p>
            <w:pPr>
              <w:pStyle w:val="TableContents"/>
              <w:bidi w:val="0"/>
              <w:spacing w:before="0" w:after="283"/>
              <w:jc w:val="both"/>
              <w:rPr/>
            </w:pPr>
            <w:r>
              <w:rPr/>
              <w:t>Corporate tax exemption</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bookmarkStart w:id="664" w:name="xdx_409_eus-gaap--IncomeTaxEffectsAlloca"/>
            <w:bookmarkEnd w:id="664"/>
          </w:p>
        </w:tc>
      </w:tr>
      <w:tr>
        <w:trPr/>
        <w:tc>
          <w:tcPr>
            <w:tcW w:w="4475" w:type="dxa"/>
            <w:tcBorders/>
            <w:shd w:fill="CCEEFF" w:val="clear"/>
            <w:vAlign w:val="center"/>
          </w:tcPr>
          <w:p>
            <w:pPr>
              <w:pStyle w:val="TableContents"/>
              <w:bidi w:val="0"/>
              <w:spacing w:before="0" w:after="283"/>
              <w:jc w:val="both"/>
              <w:rPr/>
            </w:pPr>
            <w:r>
              <w:rPr/>
              <w:t>Over-provision in prior year</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pPr>
            <w:r>
              <w:rPr/>
              <w:t>(9</w:t>
            </w:r>
          </w:p>
        </w:tc>
        <w:tc>
          <w:tcPr>
            <w:tcW w:w="230" w:type="dxa"/>
            <w:tcBorders/>
            <w:shd w:fill="CCEEFF" w:val="clear"/>
            <w:vAlign w:val="center"/>
          </w:tcPr>
          <w:p>
            <w:pPr>
              <w:pStyle w:val="TableContents"/>
              <w:bidi w:val="0"/>
              <w:spacing w:before="0" w:after="283"/>
              <w:jc w:val="left"/>
              <w:rPr/>
            </w:pPr>
            <w:r>
              <w:rPr/>
              <w:t>)</w:t>
            </w:r>
            <w:bookmarkStart w:id="665" w:name="xdx_407_eus-gaap--IncomeTaxReconciliatio"/>
            <w:bookmarkEnd w:id="665"/>
          </w:p>
        </w:tc>
      </w:tr>
      <w:tr>
        <w:trPr/>
        <w:tc>
          <w:tcPr>
            <w:tcW w:w="4475" w:type="dxa"/>
            <w:tcBorders/>
            <w:shd w:fill="FFFFFF" w:val="clear"/>
            <w:vAlign w:val="center"/>
          </w:tcPr>
          <w:p>
            <w:pPr>
              <w:pStyle w:val="TableContents"/>
              <w:bidi w:val="0"/>
              <w:spacing w:before="0" w:after="283"/>
              <w:jc w:val="both"/>
              <w:rPr/>
            </w:pPr>
            <w:r>
              <w:rPr/>
              <w:t>Unrecognized deferred tax asset</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0" w:type="dxa"/>
            <w:tcBorders>
              <w:bottom w:val="single" w:sz="8" w:space="0" w:color="000000"/>
            </w:tcBorders>
            <w:shd w:fill="FFFFFF" w:val="clear"/>
            <w:tcMar>
              <w:bottom w:w="28" w:type="dxa"/>
            </w:tcMar>
            <w:vAlign w:val="center"/>
          </w:tcPr>
          <w:p>
            <w:pPr>
              <w:pStyle w:val="TableContents"/>
              <w:bidi w:val="0"/>
              <w:spacing w:before="0" w:after="283"/>
              <w:jc w:val="right"/>
              <w:rPr/>
            </w:pPr>
            <w:r>
              <w:rPr/>
              <w:t>37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2" w:type="dxa"/>
            <w:tcBorders>
              <w:bottom w:val="single" w:sz="8" w:space="0" w:color="000000"/>
            </w:tcBorders>
            <w:shd w:fill="FFFFFF" w:val="clear"/>
            <w:tcMar>
              <w:bottom w:w="28" w:type="dxa"/>
            </w:tcMar>
            <w:vAlign w:val="center"/>
          </w:tcPr>
          <w:p>
            <w:pPr>
              <w:pStyle w:val="TableContents"/>
              <w:bidi w:val="0"/>
              <w:spacing w:before="0" w:after="283"/>
              <w:jc w:val="right"/>
              <w:rPr/>
            </w:pPr>
            <w:r>
              <w:rPr/>
              <w:t>114</w:t>
            </w:r>
          </w:p>
        </w:tc>
        <w:tc>
          <w:tcPr>
            <w:tcW w:w="230" w:type="dxa"/>
            <w:tcBorders/>
            <w:shd w:fill="FFFFFF" w:val="clear"/>
            <w:vAlign w:val="center"/>
          </w:tcPr>
          <w:p>
            <w:pPr>
              <w:pStyle w:val="TableContents"/>
              <w:bidi w:val="0"/>
              <w:spacing w:before="0" w:after="283"/>
              <w:jc w:val="left"/>
              <w:rPr/>
            </w:pPr>
            <w:r>
              <w:rPr/>
              <w:t> </w:t>
            </w:r>
            <w:bookmarkStart w:id="666" w:name="xdx_400_eus-gaap--IncomeTaxExpenseBenefi"/>
            <w:bookmarkEnd w:id="666"/>
          </w:p>
        </w:tc>
      </w:tr>
      <w:tr>
        <w:trPr/>
        <w:tc>
          <w:tcPr>
            <w:tcW w:w="4475" w:type="dxa"/>
            <w:tcBorders/>
            <w:shd w:fill="CCEEFF" w:val="clear"/>
            <w:vAlign w:val="center"/>
          </w:tcPr>
          <w:p>
            <w:pPr>
              <w:pStyle w:val="TableContents"/>
              <w:bidi w:val="0"/>
              <w:spacing w:before="0" w:after="283"/>
              <w:jc w:val="both"/>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2" w:type="dxa"/>
            <w:tcBorders>
              <w:bottom w:val="single" w:sz="8" w:space="0" w:color="000000"/>
            </w:tcBorders>
            <w:shd w:fill="CCEEFF" w:val="clear"/>
            <w:tcMar>
              <w:bottom w:w="28" w:type="dxa"/>
            </w:tcMar>
            <w:vAlign w:val="center"/>
          </w:tcPr>
          <w:p>
            <w:pPr>
              <w:pStyle w:val="TableContents"/>
              <w:bidi w:val="0"/>
              <w:spacing w:before="0" w:after="283"/>
              <w:jc w:val="right"/>
              <w:rPr/>
            </w:pPr>
            <w:r>
              <w:rPr/>
              <w:t>(9</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reconciled to the Singapore corporate income tax rate of </w:t>
            </w:r>
            <w:bookmarkStart w:id="667" w:name="xdx_90D_eus-gaap--EffectiveIncomeTaxRate"/>
            <w:bookmarkEnd w:id="667"/>
            <w:r>
              <w:rPr>
                <w:rFonts w:ascii="Times New Roman;Times;Serif" w:hAnsi="Times New Roman;Times;Serif"/>
                <w:b w:val="false"/>
                <w:i w:val="false"/>
                <w:caps w:val="false"/>
                <w:smallCaps w:val="false"/>
                <w:sz w:val="20"/>
              </w:rPr>
              <w:t xml:space="preserve">17% to reflect the location of the Company’s operating activities and rather than reconciling to Cayman Islands statutory tax rate of </w:t>
            </w:r>
            <w:bookmarkStart w:id="668" w:name="xdx_905_eus-gaap--EffectiveIncomeTaxRate"/>
            <w:bookmarkEnd w:id="668"/>
            <w:r>
              <w:rPr>
                <w:rFonts w:ascii="Times New Roman;Times;Serif" w:hAnsi="Times New Roman;Times;Serif"/>
                <w:b w:val="false"/>
                <w:i w:val="false"/>
                <w:caps w:val="false"/>
                <w:smallCaps w:val="false"/>
                <w:sz w:val="20"/>
              </w:rPr>
              <w:t>0%.</w:t>
            </w:r>
          </w:p>
        </w:tc>
      </w:tr>
    </w:tbl>
    <w:p>
      <w:pPr>
        <w:pStyle w:val="TextBody"/>
        <w:bidi w:val="0"/>
        <w:spacing w:before="0" w:after="0"/>
        <w:ind w:left="0" w:right="0" w:hanging="0"/>
        <w:jc w:val="both"/>
        <w:rPr>
          <w:caps w:val="false"/>
          <w:smallCaps w:val="false"/>
        </w:rPr>
      </w:pPr>
      <w:bookmarkStart w:id="669" w:name="xdx_8AE_z7BF332L5uDl"/>
      <w:bookmarkEnd w:id="669"/>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Uncertain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uncertain tax position (including the potential application of interest and penalties) based on the technical merits, and measures the unrecognized benefits associated with the tax positions. The Company did not incur any interest and penalties related to potential underpaid income tax expenses for the six months ended June 30, 2025 and 2026 and also did not anticipate any significant increases or decreases in unrecognized tax benefits in the next 12 months from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70" w:name="xdx_802_eus-gaap--RelatedPartyTransactio"/>
      <w:bookmarkEnd w:id="670"/>
      <w:r>
        <w:rPr>
          <w:rFonts w:ascii="Times New Roman;Times;Serif" w:hAnsi="Times New Roman;Times;Serif"/>
          <w:b/>
          <w:i w:val="false"/>
          <w:caps w:val="false"/>
          <w:smallCaps w:val="false"/>
          <w:sz w:val="20"/>
        </w:rPr>
        <w:t xml:space="preserve">Note 15 – </w:t>
      </w:r>
      <w:bookmarkStart w:id="671" w:name="xdx_828_zL5QUXJx4Qs3"/>
      <w:bookmarkEnd w:id="671"/>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during the six months ended June 30, 2025 and 2026, the Company was involved in certain transactions, either at cost or current market prices, and on the normal commercial terms with related parties, mainly the collection of fees on behalf of the related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72" w:name="xdx_8B2_zD29j5Ev6qLj"/>
      <w:bookmarkStart w:id="673" w:name="xdx_89E_eus-gaap--ScheduleOfRelatedParty"/>
      <w:bookmarkEnd w:id="672"/>
      <w:bookmarkEnd w:id="673"/>
      <w:r>
        <w:rPr>
          <w:rFonts w:ascii="Times New Roman;Times;Serif" w:hAnsi="Times New Roman;Times;Serif"/>
          <w:b w:val="false"/>
          <w:i w:val="false"/>
          <w:caps w:val="false"/>
          <w:smallCaps w:val="false"/>
          <w:sz w:val="20"/>
        </w:rPr>
        <w:t>Schedule of related party transactions</w:t>
      </w:r>
    </w:p>
    <w:tbl>
      <w:tblPr>
        <w:tblW w:w="8168" w:type="dxa"/>
        <w:jc w:val="left"/>
        <w:tblInd w:w="0" w:type="dxa"/>
        <w:tblLayout w:type="fixed"/>
        <w:tblCellMar>
          <w:top w:w="0" w:type="dxa"/>
          <w:left w:w="0" w:type="dxa"/>
          <w:bottom w:w="0" w:type="dxa"/>
          <w:right w:w="0" w:type="dxa"/>
        </w:tblCellMar>
      </w:tblPr>
      <w:tblGrid>
        <w:gridCol w:w="6395"/>
        <w:gridCol w:w="60"/>
        <w:gridCol w:w="84"/>
        <w:gridCol w:w="640"/>
        <w:gridCol w:w="95"/>
        <w:gridCol w:w="60"/>
        <w:gridCol w:w="98"/>
        <w:gridCol w:w="626"/>
        <w:gridCol w:w="110"/>
      </w:tblGrid>
      <w:tr>
        <w:trPr/>
        <w:tc>
          <w:tcPr>
            <w:tcW w:w="63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674" w:name="xdx_491_20250101__20250630_zSaDPqRQ8LUh"/>
            <w:bookmarkEnd w:id="674"/>
          </w:p>
        </w:tc>
        <w:tc>
          <w:tcPr>
            <w:tcW w:w="72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75" w:name="xdx_49E_20260101__20260630_zM5OFKVjxtAa"/>
            <w:bookmarkEnd w:id="675"/>
          </w:p>
        </w:tc>
        <w:tc>
          <w:tcPr>
            <w:tcW w:w="72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10" w:type="dxa"/>
            <w:tcBorders/>
            <w:vAlign w:val="center"/>
          </w:tcPr>
          <w:p>
            <w:pPr>
              <w:pStyle w:val="TableContents"/>
              <w:bidi w:val="0"/>
              <w:spacing w:before="0" w:after="283"/>
              <w:jc w:val="left"/>
              <w:rPr/>
            </w:pPr>
            <w:r>
              <w:rPr/>
              <w:t> </w:t>
            </w:r>
          </w:p>
        </w:tc>
      </w:tr>
      <w:tr>
        <w:trPr/>
        <w:tc>
          <w:tcPr>
            <w:tcW w:w="63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24" w:type="dxa"/>
            <w:gridSpan w:val="2"/>
            <w:tcBorders/>
            <w:vAlign w:val="center"/>
          </w:tcPr>
          <w:p>
            <w:pPr>
              <w:pStyle w:val="TableContents"/>
              <w:bidi w:val="0"/>
              <w:spacing w:before="0" w:after="283"/>
              <w:jc w:val="center"/>
              <w:rPr>
                <w:b/>
              </w:rPr>
            </w:pPr>
            <w:r>
              <w:rPr>
                <w:b/>
              </w:rPr>
              <w:t>S$’000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4" w:type="dxa"/>
            <w:gridSpan w:val="2"/>
            <w:tcBorders/>
            <w:vAlign w:val="center"/>
          </w:tcPr>
          <w:p>
            <w:pPr>
              <w:pStyle w:val="TableContents"/>
              <w:bidi w:val="0"/>
              <w:spacing w:before="0" w:after="283"/>
              <w:jc w:val="center"/>
              <w:rPr>
                <w:b/>
              </w:rPr>
            </w:pPr>
            <w:r>
              <w:rPr>
                <w:b/>
              </w:rPr>
              <w:t>S$’000</w:t>
            </w:r>
          </w:p>
        </w:tc>
        <w:tc>
          <w:tcPr>
            <w:tcW w:w="110" w:type="dxa"/>
            <w:tcBorders/>
            <w:vAlign w:val="center"/>
          </w:tcPr>
          <w:p>
            <w:pPr>
              <w:pStyle w:val="TableContents"/>
              <w:bidi w:val="0"/>
              <w:spacing w:before="0" w:after="283"/>
              <w:jc w:val="left"/>
              <w:rPr/>
            </w:pPr>
            <w:r>
              <w:rPr/>
              <w:t> </w:t>
            </w:r>
          </w:p>
        </w:tc>
      </w:tr>
      <w:tr>
        <w:trPr/>
        <w:tc>
          <w:tcPr>
            <w:tcW w:w="6395" w:type="dxa"/>
            <w:tcBorders/>
            <w:shd w:fill="CCEEFF" w:val="clear"/>
            <w:vAlign w:val="center"/>
          </w:tcPr>
          <w:p>
            <w:pPr>
              <w:pStyle w:val="TableContents"/>
              <w:bidi w:val="0"/>
              <w:spacing w:before="0" w:after="283"/>
              <w:jc w:val="both"/>
              <w:rPr/>
            </w:pPr>
            <w:r>
              <w:rPr/>
              <w:t>Nature of transactions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395" w:type="dxa"/>
            <w:tcBorders/>
            <w:shd w:fill="FFFFFF" w:val="clear"/>
            <w:vAlign w:val="center"/>
          </w:tcPr>
          <w:p>
            <w:pPr>
              <w:pStyle w:val="TableContents"/>
              <w:bidi w:val="0"/>
              <w:spacing w:before="0" w:after="283"/>
              <w:jc w:val="both"/>
              <w:rPr/>
            </w:pPr>
            <w:r>
              <w:rPr/>
              <w:t>Director/Shareholder</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676" w:name="xdx_407_ecustom--ReimbursementFundForExp"/>
            <w:bookmarkEnd w:id="676"/>
          </w:p>
        </w:tc>
      </w:tr>
      <w:tr>
        <w:trPr/>
        <w:tc>
          <w:tcPr>
            <w:tcW w:w="6395" w:type="dxa"/>
            <w:tcBorders/>
            <w:shd w:fill="CCEEFF" w:val="clear"/>
            <w:vAlign w:val="center"/>
          </w:tcPr>
          <w:p>
            <w:pPr>
              <w:pStyle w:val="TableContents"/>
              <w:bidi w:val="0"/>
              <w:spacing w:before="0" w:after="283"/>
              <w:jc w:val="both"/>
              <w:rPr/>
            </w:pPr>
            <w:r>
              <w:rPr/>
              <w:t>- Reimbursement fund for expenses paid on behalf of the Company</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(25</w:t>
            </w:r>
          </w:p>
        </w:tc>
        <w:tc>
          <w:tcPr>
            <w:tcW w:w="110" w:type="dxa"/>
            <w:tcBorders/>
            <w:shd w:fill="CCEEFF" w:val="clear"/>
            <w:vAlign w:val="center"/>
          </w:tcPr>
          <w:p>
            <w:pPr>
              <w:pStyle w:val="TableContents"/>
              <w:bidi w:val="0"/>
              <w:spacing w:before="0" w:after="283"/>
              <w:jc w:val="left"/>
              <w:rPr/>
            </w:pPr>
            <w:r>
              <w:rPr/>
              <w:t>)</w:t>
            </w:r>
            <w:bookmarkStart w:id="677" w:name="xdx_408_eus-gaap--OtherExpenses_iN_pn3n3"/>
            <w:bookmarkEnd w:id="677"/>
          </w:p>
        </w:tc>
      </w:tr>
      <w:tr>
        <w:trPr/>
        <w:tc>
          <w:tcPr>
            <w:tcW w:w="6395" w:type="dxa"/>
            <w:tcBorders/>
            <w:shd w:fill="FFFFFF" w:val="clear"/>
            <w:vAlign w:val="center"/>
          </w:tcPr>
          <w:p>
            <w:pPr>
              <w:pStyle w:val="TableContents"/>
              <w:bidi w:val="0"/>
              <w:spacing w:before="0" w:after="283"/>
              <w:jc w:val="both"/>
              <w:rPr/>
            </w:pPr>
            <w:r>
              <w:rPr/>
              <w:t>- Other expenses paid on behalf by Joyce Lee Jue Hui</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pPr>
            <w:r>
              <w:rPr/>
              <w:t>(6</w:t>
            </w:r>
          </w:p>
        </w:tc>
        <w:tc>
          <w:tcPr>
            <w:tcW w:w="110" w:type="dxa"/>
            <w:tcBorders/>
            <w:shd w:fill="FFFFFF" w:val="clear"/>
            <w:vAlign w:val="center"/>
          </w:tcPr>
          <w:p>
            <w:pPr>
              <w:pStyle w:val="TableContents"/>
              <w:bidi w:val="0"/>
              <w:spacing w:before="0" w:after="283"/>
              <w:jc w:val="left"/>
              <w:rPr/>
            </w:pPr>
            <w:r>
              <w:rPr/>
              <w:t>)</w:t>
            </w:r>
            <w:bookmarkStart w:id="678" w:name="xdx_409_eus-gaap--PaymentsOfLoanCosts_iN"/>
            <w:bookmarkEnd w:id="678"/>
          </w:p>
        </w:tc>
      </w:tr>
      <w:tr>
        <w:trPr/>
        <w:tc>
          <w:tcPr>
            <w:tcW w:w="6395" w:type="dxa"/>
            <w:tcBorders/>
            <w:shd w:fill="CCEEFF" w:val="clear"/>
            <w:vAlign w:val="center"/>
          </w:tcPr>
          <w:p>
            <w:pPr>
              <w:pStyle w:val="TableContents"/>
              <w:bidi w:val="0"/>
              <w:spacing w:before="0" w:after="283"/>
              <w:jc w:val="both"/>
              <w:rPr/>
            </w:pPr>
            <w:r>
              <w:rPr/>
              <w:t>- Loan advance to the Company</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(730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679" w:name="xdx_40D_eus-gaap--RepaymentsOfLongTermDe"/>
            <w:bookmarkEnd w:id="679"/>
          </w:p>
        </w:tc>
      </w:tr>
      <w:tr>
        <w:trPr/>
        <w:tc>
          <w:tcPr>
            <w:tcW w:w="6395" w:type="dxa"/>
            <w:tcBorders/>
            <w:shd w:fill="FFFFFF" w:val="clear"/>
            <w:vAlign w:val="center"/>
          </w:tcPr>
          <w:p>
            <w:pPr>
              <w:pStyle w:val="TableContents"/>
              <w:bidi w:val="0"/>
              <w:spacing w:before="0" w:after="283"/>
              <w:jc w:val="both"/>
              <w:rPr/>
            </w:pPr>
            <w:r>
              <w:rPr/>
              <w:t>- Repayment of loan</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0" w:type="dxa"/>
            <w:tcBorders>
              <w:bottom w:val="single" w:sz="8" w:space="0" w:color="000000"/>
            </w:tcBorders>
            <w:shd w:fill="FFFFFF" w:val="clear"/>
            <w:tcMar>
              <w:bottom w:w="28" w:type="dxa"/>
            </w:tcMar>
            <w:vAlign w:val="center"/>
          </w:tcPr>
          <w:p>
            <w:pPr>
              <w:pStyle w:val="TableContents"/>
              <w:bidi w:val="0"/>
              <w:spacing w:before="0" w:after="283"/>
              <w:jc w:val="right"/>
              <w:rPr/>
            </w:pPr>
            <w:r>
              <w:rPr/>
              <w:t>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6" w:type="dxa"/>
            <w:tcBorders>
              <w:bottom w:val="single" w:sz="8" w:space="0" w:color="000000"/>
            </w:tcBorders>
            <w:shd w:fill="FFFFFF" w:val="clear"/>
            <w:tcMar>
              <w:bottom w:w="28" w:type="dxa"/>
            </w:tcMar>
            <w:vAlign w:val="center"/>
          </w:tcPr>
          <w:p>
            <w:pPr>
              <w:pStyle w:val="TableContents"/>
              <w:bidi w:val="0"/>
              <w:spacing w:before="0" w:after="283"/>
              <w:jc w:val="right"/>
              <w:rPr/>
            </w:pPr>
            <w:r>
              <w:rPr/>
              <w:t>216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680" w:name="xdx_8AB_ztirIllxyt08"/>
      <w:bookmarkEnd w:id="68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Apart from the transactions and balances detailed elsewhere in these accompanying consolidated financial statements, the Company has no other significant or material related party transactions during the years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1" w:name="xdx_804_eus-gaap--ConcentrationRiskDiscl"/>
      <w:bookmarkEnd w:id="681"/>
      <w:r>
        <w:rPr>
          <w:rFonts w:ascii="Times New Roman;Times;Serif" w:hAnsi="Times New Roman;Times;Serif"/>
          <w:b/>
          <w:i w:val="false"/>
          <w:caps w:val="false"/>
          <w:smallCaps w:val="false"/>
          <w:sz w:val="20"/>
        </w:rPr>
        <w:t xml:space="preserve">Note 16 - </w:t>
      </w:r>
      <w:bookmarkStart w:id="682" w:name="xdx_829_zmxJnDZbxL62"/>
      <w:bookmarkEnd w:id="682"/>
      <w:r>
        <w:rPr>
          <w:rFonts w:ascii="Times New Roman;Times;Serif" w:hAnsi="Times New Roman;Times;Serif"/>
          <w:b/>
          <w:i w:val="false"/>
          <w:caps w:val="false"/>
          <w:smallCaps w:val="false"/>
          <w:sz w:val="20"/>
        </w:rPr>
        <w:t>Concentrations and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any significant concentrations of risk related to major customers. Given the dynamic nature of the business, the number of customers fluctuates frequently. Moreover, the individual impact of each customer on the business is minimal. Therefore, we do not anticipate this fluctuation in customer numbers to pose a significant risk to the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Major vendors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nature of the business, we engage in a network of coaches to operate and run our swimming classes. This causes the impact of each coach to be minimal and we do not foresee extreme disruption in the business if some coaches decide to leave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a policy of only dealing with creditworthy counterparties. The Company performs ongoing credit evaluation of its counterparties’ financial condition and generally does not require collateral. The Company also considers the probability of default upon initial recognition of assets and whether there has been a significant increase in credit risk on an ongoing basis throughout each reporting period.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the default event on a financial asset to be when internal and/or external information indicates that the financial asset is unlikely to be received, which could include default of contractual payments due for more than 90 days, default of interest due for more than 365 days or there is significant difficulty of the counterparty.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minimize credit risk, the Company has developed and maintained its credit risk grading to categorize exposures according to their degree of risk of default. The credit rating information is supplied by publicly available financial information and the Company’s own trading records to rate its major customers and other debtors. The Company considers available reasonable and supportive forward-looking information which includes the following indicators: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expected significant adverse changes in business, financial or economic conditions that are expected to cause a significant change to the debtor’s ability to meet its obligations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 credit rating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credit rating and when necessary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Regardless of the analysis above, a significant increase in credit risk is presumed if a debtor is more than 30 days past due in making contractual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there were </w:t>
      </w:r>
      <w:bookmarkStart w:id="683" w:name="xdx_90C_eus-gaap--ReceivablesNetCurrent_"/>
      <w:bookmarkEnd w:id="683"/>
      <w:r>
        <w:rPr>
          <w:rFonts w:ascii="Times New Roman;Times;Serif" w:hAnsi="Times New Roman;Times;Serif"/>
          <w:b w:val="false"/>
          <w:i w:val="false"/>
          <w:caps w:val="false"/>
          <w:smallCaps w:val="false"/>
          <w:sz w:val="20"/>
        </w:rPr>
        <w:t>no outstanding trade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there was S$</w:t>
      </w:r>
      <w:bookmarkStart w:id="684" w:name="xdx_905_eus-gaap--ReceivablesNetCurrent_"/>
      <w:bookmarkEnd w:id="684"/>
      <w:r>
        <w:rPr>
          <w:rFonts w:ascii="Times New Roman;Times;Serif" w:hAnsi="Times New Roman;Times;Serif"/>
          <w:b w:val="false"/>
          <w:i w:val="false"/>
          <w:caps w:val="false"/>
          <w:smallCaps w:val="false"/>
          <w:sz w:val="20"/>
        </w:rPr>
        <w:t xml:space="preserve">24,000 outstanding trade receivables, from four customers, representing </w:t>
      </w:r>
      <w:bookmarkStart w:id="685" w:name="xdx_900_eus-gaap--ConcentrationRiskPerce"/>
      <w:bookmarkEnd w:id="685"/>
      <w:r>
        <w:rPr>
          <w:rFonts w:ascii="Times New Roman;Times;Serif" w:hAnsi="Times New Roman;Times;Serif"/>
          <w:b w:val="false"/>
          <w:i w:val="false"/>
          <w:caps w:val="false"/>
          <w:smallCaps w:val="false"/>
          <w:sz w:val="20"/>
        </w:rPr>
        <w:t>100% of the total net accounts receivable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Interest rate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Company has no significant interest-bearing assets, the Company’s income and operating cash flows are substantially independent of changes in market interest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interest-rate risk arises from bank borrowings. The Company manages interest rate risk by varying the issuance and maturity dates of variable rate debt, limiting the amount of variable rate debt, and continually monitoring the effects of market changes in interest rates. As of December 31, 2025 and June 30, 2026, the borrowings comprising a property loan bearing an interest rate of</w:t>
      </w:r>
      <w:bookmarkStart w:id="686" w:name="xdx_90A_eus-gaap--DebtInstrumentInterest"/>
      <w:bookmarkEnd w:id="686"/>
      <w:r>
        <w:rPr>
          <w:rFonts w:ascii="Times New Roman;Times;Serif" w:hAnsi="Times New Roman;Times;Serif"/>
          <w:b w:val="false"/>
          <w:i w:val="false"/>
          <w:caps w:val="false"/>
          <w:smallCaps w:val="false"/>
          <w:sz w:val="20"/>
        </w:rPr>
        <w:t xml:space="preserve"> 3.75% and </w:t>
      </w:r>
      <w:bookmarkStart w:id="687" w:name="xdx_903_eus-gaap--DebtInstrumentInterest"/>
      <w:bookmarkEnd w:id="687"/>
      <w:r>
        <w:rPr>
          <w:rFonts w:ascii="Times New Roman;Times;Serif" w:hAnsi="Times New Roman;Times;Serif"/>
          <w:b w:val="false"/>
          <w:i w:val="false"/>
          <w:caps w:val="false"/>
          <w:smallCaps w:val="false"/>
          <w:sz w:val="20"/>
        </w:rPr>
        <w:t>1.45%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Exchange rate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cannot guarantee that the current exchange rate will remain steady; therefore, there is a possibility that the Company could post the same amount of profit for two comparable periods and because of the fluctuating exchange rate post higher or lower profit depending on the exchange rate of S$ converted to US$ on that date. The exchange rate could fluctuate depending on changes in political and economic environments without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Liquidity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risk is the risk that the Company will not be able to meet its financial obligations as they become due. The Company’s policy is to ensure that it has sufficient cash to meet its liabilities when they become due, under both normal and stressed conditions, without incurring unacceptable losses or risking damage to the Company’s reputation. A key risk in managing liquidity is the degree of uncertainty in the cash flow projections. If future cash flows are fairly uncertain, the liquidity risk increases.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8" w:name="xdx_80D_eus-gaap--CommitmentsAndContinge"/>
      <w:bookmarkEnd w:id="688"/>
      <w:r>
        <w:rPr>
          <w:rFonts w:ascii="Times New Roman;Times;Serif" w:hAnsi="Times New Roman;Times;Serif"/>
          <w:b/>
          <w:i w:val="false"/>
          <w:caps w:val="false"/>
          <w:smallCaps w:val="false"/>
          <w:sz w:val="20"/>
        </w:rPr>
        <w:t xml:space="preserve">Note 17 - </w:t>
      </w:r>
      <w:bookmarkStart w:id="689" w:name="xdx_82A_zfzr14vaYjTl"/>
      <w:bookmarkEnd w:id="689"/>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we are subject to loss contingencies, such as legal proceedings and claims arising out of our business, that cover a wide range of matters, including, among others, government investigations and tax matters. In accordance with ASC No. 450-20, “Loss Contingencies”, we will record accruals for such loss contingencies when it is probable that a liability has been incurred and the amount of loss can be reasonably estimated. In the opinion of management of the Company, there were no pending or threatened claims and litigation as of June 30, 2026 and through the date of the release of these unaudited interim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90" w:name="xdx_806_eus-gaap--SubsequentEventsTextBl"/>
      <w:bookmarkEnd w:id="690"/>
      <w:r>
        <w:rPr>
          <w:rFonts w:ascii="Times New Roman;Times;Serif" w:hAnsi="Times New Roman;Times;Serif"/>
          <w:b/>
          <w:i w:val="false"/>
          <w:caps w:val="false"/>
          <w:smallCaps w:val="false"/>
          <w:sz w:val="20"/>
        </w:rPr>
        <w:t xml:space="preserve">Note 18 - </w:t>
      </w:r>
      <w:bookmarkStart w:id="691" w:name="xdx_824_zWPticptL9p1"/>
      <w:bookmarkEnd w:id="691"/>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all events or transactions that occurred subsequent to June 30, 2026, through the date of release of these unaudited interim consolidated financial statements, and has determined that there are no subsequent events that require disclosure or recognition in the financial statement.</w:t>
      </w:r>
    </w:p>
    <w:p>
      <w:pPr>
        <w:pStyle w:val="TextBody"/>
        <w:bidi w:val="0"/>
        <w:spacing w:before="0" w:after="0"/>
        <w:ind w:left="0" w:right="0" w:hanging="0"/>
        <w:jc w:val="both"/>
        <w:rPr>
          <w:caps w:val="false"/>
          <w:smallCaps w:val="false"/>
        </w:rPr>
      </w:pPr>
      <w:bookmarkStart w:id="692" w:name="xdx_815_zyrDGaJEjkK8"/>
      <w:bookmarkEnd w:id="692"/>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13760</Words>
  <Characters>75170</Characters>
  <CharactersWithSpaces>90877</CharactersWithSpaces>
  <Paragraphs>5084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