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20-F/A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No.1)</w:t>
      </w:r>
    </w:p>
    <w:p>
      <w:pPr>
        <w:spacing w:after="0" w:line="201"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20" w:hanging="2789"/>
        <w:spacing w:after="0" w:line="500" w:lineRule="auto"/>
        <w:tabs>
          <w:tab w:leader="none" w:pos="1323" w:val="left"/>
        </w:tabs>
        <w:numPr>
          <w:ilvl w:val="1"/>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3300" w:right="940" w:hanging="2357"/>
        <w:spacing w:after="0" w:line="500" w:lineRule="auto"/>
        <w:tabs>
          <w:tab w:leader="none" w:pos="11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820" w:right="720" w:hanging="3094"/>
        <w:spacing w:after="0" w:line="500" w:lineRule="auto"/>
        <w:tabs>
          <w:tab w:leader="none" w:pos="925"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Date of event requiring this shell company report:</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333-282016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Fitness Champs Holdings Limited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7030 Ang Mo Kio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Avenue 5, #04-48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NorthStar@AMK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569880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Joyce Lee Jue Hui, Chief Executive Officer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+65 9061 4855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7030 Ang Mo Kio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Avenue 5, #04-48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NorthStar@AMK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569880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None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None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par value US$0.00225 per share</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outstanding shares of each of the issuer’s classes of capital or common stock as of December 31, 2025, after giving retrospective effect to the subsequent share re-designation and reverse share splits effected on January 23, 2026, February 12, 2026 and May 4, 2026, was 18,427.00 Class A ordinary shares and 19,350.78 Class B ordinary shares, each with a par value of US$0.00225 per share, representing an aggregate of 37,777.78 ordinary shares outstanding.</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retrospective effect of the subsequent share re-designation and reverse share splits, the Company had 17,000,000 ordinary shares outstanding with a par value of US$0.000005 per share as of December 31, 2025.</w:t>
      </w:r>
    </w:p>
    <w:p>
      <w:pPr>
        <w:sectPr>
          <w:pgSz w:w="11900" w:h="16838" w:orient="portrait"/>
          <w:cols w:equalWidth="0" w:num="1">
            <w:col w:w="11240"/>
          </w:cols>
          <w:pgMar w:left="320" w:top="740" w:right="339" w:bottom="0" w:gutter="0" w:footer="0" w:header="0"/>
        </w:sectPr>
      </w:pPr>
    </w:p>
    <w:bookmarkStart w:id="1" w:name="page2"/>
    <w:bookmarkEnd w:id="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number of outstanding shares of each of the issuer’s classes of capital or common stock as of May 22, 2026, was 1,299,391 Class A ordinary shares and 19,351 Class B ordinary shares, each with a par value of US$0.00225 per share, representing an aggregate of 1,318,742 ordinary shares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35"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21" w:lineRule="exact"/>
        <w:rPr>
          <w:sz w:val="20"/>
          <w:szCs w:val="20"/>
          <w:color w:val="auto"/>
        </w:rPr>
      </w:pPr>
    </w:p>
    <w:p>
      <w:pPr>
        <w:spacing w:after="0" w:line="207" w:lineRule="exact"/>
        <w:tabs>
          <w:tab w:leader="none" w:pos="2800" w:val="left"/>
          <w:tab w:leader="none" w:pos="5060" w:val="left"/>
          <w:tab w:leader="none" w:pos="76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6"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337" w:right="339" w:bottom="1440" w:gutter="0" w:footer="0" w:header="0"/>
        </w:sectPr>
      </w:pPr>
    </w:p>
    <w:p>
      <w:pPr>
        <w:spacing w:after="0" w:line="18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GAAP</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hanging="559"/>
        <w:spacing w:after="0" w:line="236" w:lineRule="exact"/>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International Financial Reporting Standards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issued by the International Accounting Standards Board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w:t>
      </w:r>
    </w:p>
    <w:p>
      <w:pPr>
        <w:spacing w:after="0" w:line="668" w:lineRule="exact"/>
        <w:rPr>
          <w:sz w:val="20"/>
          <w:szCs w:val="20"/>
          <w:color w:val="auto"/>
        </w:rPr>
      </w:pPr>
    </w:p>
    <w:p>
      <w:pPr>
        <w:sectPr>
          <w:pgSz w:w="11900" w:h="16838" w:orient="portrait"/>
          <w:cols w:equalWidth="0" w:num="4">
            <w:col w:w="160" w:space="420"/>
            <w:col w:w="2660" w:space="720"/>
            <w:col w:w="3520" w:space="400"/>
            <w:col w:w="3360"/>
          </w:cols>
          <w:pgMar w:left="320" w:top="337"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of assessment of the effectiveness of its internal control over financial reporting under Section 404(b) of the Sarbanes-Oxley Act (15 U.S.C. 7262 (b)) by the registered public accounting firm that prepared or issued its audit report.</w:t>
      </w:r>
    </w:p>
    <w:p>
      <w:pPr>
        <w:spacing w:after="0" w:line="135"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highlight w:val="black"/>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all documents and reports required to be filed by Sections 12, 13 or 15 (d) of the Securities Exchange Act of 1934 subsequent to the distribution of securities under a plan confirmed by a court:</w:t>
      </w:r>
    </w:p>
    <w:p>
      <w:pPr>
        <w:spacing w:after="0" w:line="12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Fitness Champs Holdings Limited (the “Company”) is filing this Amendment No. 1 to its Annual Report on Form 20-F originally filed with the Securities and Exchange Commission on 15 May 2026 (the “Original Filing”) to amend certain disclosures relating to the Company’s issued and outstanding share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filing this Amendment No. 1 to restate in its entirety “Corporate Structure” under Item 4. “Information on the Company” and Item 6.E.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Ownership” solely to correct the disclosure under to disclose the number of shares issued as of the time of the filing instead of December 31,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described above, no other changes have been made to the Original Filing. This Amendment No. 1 does not otherwise update, amend or modify any other information contained in the Original Filing. As required by Rule 12b-15 of the Securities and Exchange Act of 1934, as amended, the Company is also filing or furnishing the certifications required under Section 302 and Section 906 of the Sarbanes-Oxley Act of 2002 as exhibits to this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Company was incorporated in the Cayman Islands on February 15, 2024 under the Companies Act as an exempted company with limited liability. Our authorized share capital at such time was US$500,000 divided into 500,000,000 Ordinary Shares, par value of US$0.001 each. Following incorporation, one ordinary share was transferred to Ms. Lee for cash at par. Ms. Lee then transferred such one share to her wholly-owned company, Big Treasure, on June 19, 2024. On December 15, 2023, Fuji entered into an agreement with Ms. Lee to acquire 4.90% of the issued share capital of the proposed holding company of Fitness Champs and Fitness Aquatics for US$470,000. On June 19, 2024, Big Treasure, Easy Builder, Creative Path, Fuji, Biostar, and True Height subscribed for approximately 64.72%, 19.09%, 4.90%, 4.90%, 4.44% and 1.95% of the issued share capital of our Company respectively. On June 19, 2024, Big Treasure and Fuji transferred their entire equity interest in Northen Star to us in consideration of our allotment and issue to each of them one Share credited as fully paid.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 2024, for purposes of recapitalization in anticipation of the initial public offering, the Company effected a 1:200 forward stock split and changed authorized share capital to $500,000 divided into 100,000,000,000 ordinary shares, par value of $0.000005 each. Concurrently, Big Treasure surrendered 3,235,950 ordinary shares, Creative Path surrendered 245,000 ordinary shares, Easy Builder surrendered 954,500 ordinary shares, Biostar surrendered 222,000 ordinary shares, True Height surrendered 97,500 ordinary shares and Fuji surrendered 245,050 ordinary shares to the Company, respectively or 25.0% of their shareholdings each.</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Historically, our Group was comprised of Fitness Champs and Fitness Aquatics. We have undertaken a reorganization whereby the entire share capital of Northen Star was transferred to us resulting in our holding of the entire issued share capital of Northen Star directly and indirectly in Fitness Champs and Fitness Aquatics.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23, 2026, at an extraordinary general meeting, our shareholders approved (i) a reverse share split of at least 2 shares to 1 and up to 50 shares to 1; and (ii) on a pre-reverse share split basis, a reclassification of shares whereby authorized share capital of the Company was re-classified and re-designated such that the share capital of the Company is US$500,000 divided into (a) 80,000,000,000 Class A Ordinary Shares of a nominal or par value of US$0.000005 each, (b) 10,000,000,000 Class B Ordinary Shares of a nominal or par value of US$0.000005 each, and (c) 10,000,000,000 preferred shares of a nominal or par value of US$0.000005. On February 12, 2026, our board of directors approved a 15:1 reverse share split of our issued and authorized shares, such that the share capital of the Company will be US$500,000 divided into (a) 5,333,333,333.33 Class A Ordinary Shares of a nominal or par value of US$0.000075 each, (b) 666,666,666.66 Class B Ordinary Shares of a nominal or par value of US$0.000075 each, and (c) 666,666,666.66 preferred shares of a nominal or par value of US$0.000075.</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20, 2026, at an extraordinary general meeting, our shareholders approved a share consolidation in a range of 2 to 1 to not more than 250 to 1, with the exact ratio set at 30 to 1 by our board of directors, which share consolidation went go into effect on May 4, 2026.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all share and per share information in this annual report supplement reflect this reverse share split.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24, 2026, our board of directors approved a 30:1 reverse share split of our issued and unissued shares, to be effective on a date to be further determined by our board of directors, such that upon the reverse share split becoming effective, the share capital of our Company will become US$500,000 divided into (a) 177,777,777.78° class A ordinary shares of a nominal or par value of US$0.00225 each; (b) 22,222,222.22° class B ordinary shares of a nominal or par value of US$0.00225 each; and (c) 22,222,222.22° preferred shares of a nominal or par value of US$0.00225 each. On April 29, 2026, our board of directors have further resolved that the reverse share split will take effect on May 4, 2026.</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currently issued 37,777.78 shares of a nominal or par value of US$0.00225 each in the Company were re-designated and re-classified such that the ordinary shares previously held by Big Treasure were re-designated and re-classified as 19,350.78 Class B Ordinary Shares each with 50 votes per share and the 18,427 shares held by the remaining shareholders were re-designated and re-classified as Class A Ordinary Shares each with 1 vote per share.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May 22, 2026, the Company had a total of 1,318,742 issued ordinary shares with a nominal or par value of US$0.00225 each, comprising 19,351 Class B Ordinary Shares each with 50 votes per share and the 1,299,391 Class A Ordinary Shares each with 1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share capital by:</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Directors and Director nominees as a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percentage ownership is based on 1,318,742 Ordinary Shares issued and outstanding as at May 22, 2026.</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information presented below regarding beneficial ownership of our voting securities has been presented in accordance with the rules of the SEC and is not necessarily indicative of ownership for any other purpose. Under these rules, a person is deemed to be a “beneficial owner” of a security if that person has or shares the power to vote or direct the voting of the security or the power to dispose or direct the disposition of the security. A person is deemed to own beneficially any security as to which such person has the right to acquire sole or shared voting or investment power within 60 days through the conversion or exercise of any convertible security, warrant, option or other right. More than 1 person may be deemed to be a beneficial owner of the same securities. The percentage of beneficial ownership by any person as of a particular date is calculated by dividing the number of shares beneficially owned by such person, which includes the number of shares as to which such person has the right to acquire voting or investment power within 60 days, by the sum of the number of shares outstanding as of such date, plus the number of shares as to which such person has the right to acquire voting or investment power within 60 days. Consequently, the denominator used for calculating such percentage may be different for each beneficial owner. Except as otherwise indicated below and under applicable community property laws, we believe that the beneficial owners of our shares listed below have sole voting and investment power with respect to the shares shown.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below, the address of each person listed on the table is 7030 Ang Mo Kio, Avenue 5, #04-48, NorthStar@AMK, Singapore 569880.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Named Executive Directors, Executive Officers or Independent Directors hold Class A Ordinary Shares and we are not aware of any 5% of greater shareholders who hold Class A Ordinary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28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0" w:type="dxa"/>
            <w:vAlign w:val="bottom"/>
          </w:tcPr>
          <w:p>
            <w:pPr>
              <w:spacing w:after="0"/>
              <w:rPr>
                <w:sz w:val="1"/>
                <w:szCs w:val="1"/>
                <w:color w:val="auto"/>
              </w:rPr>
            </w:pPr>
          </w:p>
        </w:tc>
      </w:tr>
      <w:tr>
        <w:trPr>
          <w:trHeight w:val="238"/>
        </w:trPr>
        <w:tc>
          <w:tcPr>
            <w:tcW w:w="5200" w:type="dxa"/>
            <w:vAlign w:val="bottom"/>
            <w:gridSpan w:val="4"/>
            <w:vMerge w:val="restart"/>
          </w:tcPr>
          <w:p>
            <w:pPr>
              <w:ind w:left="1440"/>
              <w:spacing w:after="0"/>
              <w:rPr>
                <w:sz w:val="20"/>
                <w:szCs w:val="20"/>
                <w:color w:val="auto"/>
              </w:rPr>
            </w:pPr>
            <w:r>
              <w:rPr>
                <w:rFonts w:ascii="Times New Roman" w:cs="Times New Roman" w:eastAsia="Times New Roman" w:hAnsi="Times New Roman"/>
                <w:sz w:val="18"/>
                <w:szCs w:val="18"/>
                <w:b w:val="1"/>
                <w:bCs w:val="1"/>
                <w:color w:val="auto"/>
              </w:rPr>
              <w:t>Name of Beneficial Owners</w:t>
            </w:r>
          </w:p>
        </w:tc>
        <w:tc>
          <w:tcPr>
            <w:tcW w:w="316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8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c>
          <w:tcPr>
            <w:tcW w:w="0" w:type="dxa"/>
            <w:vAlign w:val="bottom"/>
          </w:tcPr>
          <w:p>
            <w:pPr>
              <w:spacing w:after="0"/>
              <w:rPr>
                <w:sz w:val="1"/>
                <w:szCs w:val="1"/>
                <w:color w:val="auto"/>
              </w:rPr>
            </w:pPr>
          </w:p>
        </w:tc>
      </w:tr>
      <w:tr>
        <w:trPr>
          <w:trHeight w:val="210"/>
        </w:trPr>
        <w:tc>
          <w:tcPr>
            <w:tcW w:w="5200" w:type="dxa"/>
            <w:vAlign w:val="bottom"/>
            <w:gridSpan w:val="4"/>
            <w:vMerge w:val="continue"/>
          </w:tcPr>
          <w:p>
            <w:pPr>
              <w:spacing w:after="0"/>
              <w:rPr>
                <w:sz w:val="18"/>
                <w:szCs w:val="18"/>
                <w:color w:val="auto"/>
              </w:rPr>
            </w:pPr>
          </w:p>
        </w:tc>
        <w:tc>
          <w:tcPr>
            <w:tcW w:w="160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 %</w:t>
            </w:r>
          </w:p>
        </w:tc>
        <w:tc>
          <w:tcPr>
            <w:tcW w:w="340" w:type="dxa"/>
            <w:vAlign w:val="bottom"/>
          </w:tcPr>
          <w:p>
            <w:pPr>
              <w:spacing w:after="0"/>
              <w:rPr>
                <w:sz w:val="18"/>
                <w:szCs w:val="18"/>
                <w:color w:val="auto"/>
              </w:rPr>
            </w:pPr>
          </w:p>
        </w:tc>
        <w:tc>
          <w:tcPr>
            <w:tcW w:w="15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Named Executive Directors and Executive Officers:</w:t>
            </w: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20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Ms. Joyce Lee Jue Hui</w:t>
            </w:r>
            <w:r>
              <w:rPr>
                <w:rFonts w:ascii="Times New Roman" w:cs="Times New Roman" w:eastAsia="Times New Roman" w:hAnsi="Times New Roman"/>
                <w:sz w:val="29"/>
                <w:szCs w:val="29"/>
                <w:color w:val="auto"/>
                <w:vertAlign w:val="superscript"/>
              </w:rPr>
              <w:t>(1)</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19,351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Mr. Koh Yong Mong</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Ms. Chia Nyoke Yee</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Ms. Lian Lai Hong, Jerrica</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Mr. Yao Peikang</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Independent Director Nominees:</w:t>
            </w: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Borders>
              <w:top w:val="single" w:sz="8" w:color="auto"/>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Mr. Lay Shi Wei</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Mr. Liu Junting Jason</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Mr. Tang Poh Lu</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held by Named Executive Directors and Executive Officers</w:t>
            </w: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Independent Directors:</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19,351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20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Big Treasure</w:t>
            </w:r>
            <w:r>
              <w:rPr>
                <w:rFonts w:ascii="Times New Roman" w:cs="Times New Roman" w:eastAsia="Times New Roman" w:hAnsi="Times New Roman"/>
                <w:sz w:val="29"/>
                <w:szCs w:val="29"/>
                <w:color w:val="auto"/>
                <w:vertAlign w:val="superscript"/>
              </w:rPr>
              <w:t>(2)</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19,351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held by 5% of Greater Shareholders:</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19,351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Ms. Lee’s holdings are entirely through her holding of shares held by Big Treasure. Ms. Lee does not hold any Shares individually.</w:t>
      </w:r>
    </w:p>
    <w:p>
      <w:pPr>
        <w:spacing w:after="0" w:line="42" w:lineRule="exact"/>
        <w:rPr>
          <w:rFonts w:ascii="Times New Roman" w:cs="Times New Roman" w:eastAsia="Times New Roman" w:hAnsi="Times New Roman"/>
          <w:sz w:val="27"/>
          <w:szCs w:val="27"/>
          <w:color w:val="auto"/>
          <w:vertAlign w:val="superscript"/>
        </w:rPr>
      </w:pPr>
    </w:p>
    <w:p>
      <w:pPr>
        <w:jc w:val="both"/>
        <w:ind w:firstLine="8"/>
        <w:spacing w:after="0" w:line="217" w:lineRule="auto"/>
        <w:tabs>
          <w:tab w:leader="none" w:pos="226"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Big Treasure is wholly-owned by Ms. Lee and reflects all shares held by Ms. Lee as she holds no Ordinary Shares individually. The total number of shares controlled by Ms. Lee through Big Treasure is reflected above under “Named Executive Directors and Executive Officers” as all of the Ordinary Shares she holds are held indirectly through her control of Big Treasure (19,351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6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as amended by Amendment No.1 thereto, and that it has duly caused and authorized the undersigned to sign this annual report on its behalf.</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Fitness Champs Holdings Limited</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Joyce Lee Jue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Joyce Lee Jue Hui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Chia Nyoke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Chia Nyoke Yee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Financial Controller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CERTIFICATIONS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Joyce Lee Jue Hui,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as amended by Amendment No.1 thereto, of Fitness Champs Holdings Limited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Joyce Lee Jue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Joyce Lee Jue Hui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CERTIFICATIONS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Chia Nyoke Yee,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as amended by Amendment No.1 thereto, of Fitness Champs Holdings Limited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Chia Nyoke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Chia Nyoke Yee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Financial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special report of Fitness Champs Holdings Limited on Form 20-F, as amended by Amendment No.1 thereto, and as filed with the U.S. Securities and Exchange Commission on the date hereof (the “Report”) for the purpose of complying with Rule 13a-14(b) or Rule 15d-14(b) of the United States Securities Exchange Act of 1934 (the “Exchange Act”) and Section 1350 of Chapter 63 of Title 18 of the United States Code.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Joyce Lee Jue Hui, Chief Executive Officer, and Chia Nyoke Yee, Financial Controller of Fitness Champs Holdings Limited, each certifies that, to the best of her knowledge:</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Fitness Champs Holdings Limited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Joyce Lee Jue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Joyce Lee Jue Hui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Chia Nyoke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Chia Nyoke Yee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Financial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2026-05-22T12:37:54Z</dcterms:created>
  <dcterms:modified xsi:type="dcterms:W3CDTF">2026-05-22T12:37:54Z</dcterms:modified>
</cp:coreProperties>
</file>