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20-fa.htm"/>
      <w:bookmarkStart w:id="1" w:name="ksform20f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50101__20"/>
      <w:bookmarkEnd w:id="2"/>
      <w:r>
        <w:rPr>
          <w:rFonts w:ascii="Times New Roman;Times;Serif" w:hAnsi="Times New Roman;Times;Serif"/>
          <w:b/>
          <w:i w:val="false"/>
          <w:caps w:val="false"/>
          <w:smallCaps w:val="false"/>
          <w:sz w:val="36"/>
        </w:rPr>
        <w:t>20-F/A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6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xdx_90F_edei--DocumentAnnualReport_c2025"/>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F_edei--CurrentFiscalYearEndDate_c"/>
      <w:bookmarkStart w:id="6" w:name="xdx_90E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A_edei--DocumentFiscalYearFocus_c2"/>
      <w:bookmarkEnd w:id="7"/>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xdx_90D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 w:name="xdx_90F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5_edei--EntityFileNumber_c20250101"/>
      <w:bookmarkEnd w:id="10"/>
      <w:r>
        <w:rPr>
          <w:rFonts w:ascii="Times New Roman;Times;Serif" w:hAnsi="Times New Roman;Times;Serif"/>
          <w:b/>
          <w:i w:val="false"/>
          <w:caps w:val="false"/>
          <w:smallCaps w:val="false"/>
          <w:sz w:val="20"/>
        </w:rPr>
        <w:t>333-282016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C_edei--EntityRegistrantName_c2025"/>
      <w:bookmarkEnd w:id="11"/>
      <w:r>
        <w:rPr>
          <w:rFonts w:ascii="Times New Roman;Times;Serif" w:hAnsi="Times New Roman;Times;Serif"/>
          <w:b/>
          <w:i w:val="false"/>
          <w:caps w:val="false"/>
          <w:smallCaps w:val="false"/>
          <w:sz w:val="36"/>
        </w:rPr>
        <w:t>Fitness Champs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9_edei--EntityIncorporationStateCo"/>
      <w:bookmarkEnd w:id="12"/>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F_edei--EntityAddressAddressLine1_"/>
      <w:bookmarkEnd w:id="13"/>
      <w:r>
        <w:rPr>
          <w:rFonts w:ascii="Times New Roman;Times;Serif" w:hAnsi="Times New Roman;Times;Serif"/>
          <w:b/>
          <w:i w:val="false"/>
          <w:caps w:val="false"/>
          <w:smallCaps w:val="false"/>
          <w:sz w:val="20"/>
        </w:rPr>
        <w:t>7030 Ang Mo Kio</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4_edei--EntityAddressAddressLine2_"/>
      <w:bookmarkEnd w:id="14"/>
      <w:r>
        <w:rPr>
          <w:rFonts w:ascii="Times New Roman;Times;Serif" w:hAnsi="Times New Roman;Times;Serif"/>
          <w:b/>
          <w:i w:val="false"/>
          <w:caps w:val="false"/>
          <w:smallCaps w:val="false"/>
          <w:sz w:val="20"/>
        </w:rPr>
        <w:t xml:space="preserve">Avenue 5, </w:t>
      </w:r>
      <w:bookmarkStart w:id="15" w:name="xdx_90A_edei--EntityAddressAddressLine3_"/>
      <w:bookmarkEnd w:id="15"/>
      <w:r>
        <w:rPr>
          <w:rFonts w:ascii="Times New Roman;Times;Serif" w:hAnsi="Times New Roman;Times;Serif"/>
          <w:b/>
          <w:i w:val="false"/>
          <w:caps w:val="false"/>
          <w:smallCaps w:val="false"/>
          <w:sz w:val="20"/>
        </w:rPr>
        <w:t>#04-48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8_edei--EntityAddressCityOrTown_c2"/>
      <w:bookmarkEnd w:id="16"/>
      <w:r>
        <w:rPr>
          <w:rFonts w:ascii="Times New Roman;Times;Serif" w:hAnsi="Times New Roman;Times;Serif"/>
          <w:b/>
          <w:i w:val="false"/>
          <w:caps w:val="false"/>
          <w:smallCaps w:val="false"/>
          <w:sz w:val="20"/>
        </w:rPr>
        <w:t>NorthStar@AMK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0_edei--EntityAddressCountry_c2025"/>
      <w:bookmarkEnd w:id="17"/>
      <w:r>
        <w:rPr>
          <w:rFonts w:ascii="Times New Roman;Times;Serif" w:hAnsi="Times New Roman;Times;Serif"/>
          <w:b/>
          <w:i w:val="false"/>
          <w:caps w:val="false"/>
          <w:smallCaps w:val="false"/>
          <w:sz w:val="20"/>
        </w:rPr>
        <w:t xml:space="preserve">Singapore </w:t>
      </w:r>
      <w:bookmarkStart w:id="18" w:name="xdx_908_edei--EntityAddressPostalZipCode"/>
      <w:bookmarkEnd w:id="18"/>
      <w:r>
        <w:rPr>
          <w:rFonts w:ascii="Times New Roman;Times;Serif" w:hAnsi="Times New Roman;Times;Serif"/>
          <w:b/>
          <w:i w:val="false"/>
          <w:caps w:val="false"/>
          <w:smallCaps w:val="false"/>
          <w:sz w:val="20"/>
        </w:rPr>
        <w:t>569880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xdx_90E_edei--ContactPersonnelName_c2025"/>
      <w:bookmarkEnd w:id="19"/>
      <w:r>
        <w:rPr>
          <w:rFonts w:ascii="Times New Roman;Times;Serif" w:hAnsi="Times New Roman;Times;Serif"/>
          <w:b/>
          <w:i w:val="false"/>
          <w:caps w:val="false"/>
          <w:smallCaps w:val="false"/>
          <w:sz w:val="20"/>
        </w:rPr>
        <w:t>Joyce Lee Jue Hui,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xdx_90B_edei--CityAreaCode_c20250101__20"/>
      <w:bookmarkEnd w:id="20"/>
      <w:r>
        <w:rPr>
          <w:rFonts w:ascii="Times New Roman;Times;Serif" w:hAnsi="Times New Roman;Times;Serif"/>
          <w:b/>
          <w:i w:val="false"/>
          <w:caps w:val="false"/>
          <w:smallCaps w:val="false"/>
          <w:sz w:val="20"/>
        </w:rPr>
        <w:t xml:space="preserve">+65 </w:t>
      </w:r>
      <w:bookmarkStart w:id="21" w:name="xdx_90A_edei--LocalPhoneNumber_c20250101"/>
      <w:bookmarkEnd w:id="21"/>
      <w:r>
        <w:rPr>
          <w:rFonts w:ascii="Times New Roman;Times;Serif" w:hAnsi="Times New Roman;Times;Serif"/>
          <w:b/>
          <w:i w:val="false"/>
          <w:caps w:val="false"/>
          <w:smallCaps w:val="false"/>
          <w:sz w:val="20"/>
        </w:rPr>
        <w:t>9061 4855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xdx_902_edei--EntityAddressAddressLine1_"/>
      <w:bookmarkEnd w:id="22"/>
      <w:r>
        <w:rPr>
          <w:rFonts w:ascii="Times New Roman;Times;Serif" w:hAnsi="Times New Roman;Times;Serif"/>
          <w:b/>
          <w:i w:val="false"/>
          <w:caps w:val="false"/>
          <w:smallCaps w:val="false"/>
          <w:sz w:val="20"/>
        </w:rPr>
        <w:t>7030 Ang Mo Kio</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xdx_90B_edei--EntityAddressAddressLine2_"/>
      <w:bookmarkEnd w:id="23"/>
      <w:r>
        <w:rPr>
          <w:rFonts w:ascii="Times New Roman;Times;Serif" w:hAnsi="Times New Roman;Times;Serif"/>
          <w:b/>
          <w:i w:val="false"/>
          <w:caps w:val="false"/>
          <w:smallCaps w:val="false"/>
          <w:sz w:val="20"/>
        </w:rPr>
        <w:t xml:space="preserve">Avenue 5, </w:t>
      </w:r>
      <w:bookmarkStart w:id="24" w:name="xdx_905_edei--EntityAddressAddressLine3_"/>
      <w:bookmarkEnd w:id="24"/>
      <w:r>
        <w:rPr>
          <w:rFonts w:ascii="Times New Roman;Times;Serif" w:hAnsi="Times New Roman;Times;Serif"/>
          <w:b/>
          <w:i w:val="false"/>
          <w:caps w:val="false"/>
          <w:smallCaps w:val="false"/>
          <w:sz w:val="20"/>
        </w:rPr>
        <w:t>#04-48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xdx_90A_edei--EntityAddressCityOrTown_c2"/>
      <w:bookmarkEnd w:id="25"/>
      <w:r>
        <w:rPr>
          <w:rFonts w:ascii="Times New Roman;Times;Serif" w:hAnsi="Times New Roman;Times;Serif"/>
          <w:b/>
          <w:i w:val="false"/>
          <w:caps w:val="false"/>
          <w:smallCaps w:val="false"/>
          <w:sz w:val="20"/>
        </w:rPr>
        <w:t>NorthStar@AMK</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xdx_909_edei--EntityAddressCountry_c2025"/>
      <w:bookmarkEnd w:id="26"/>
      <w:r>
        <w:rPr>
          <w:rFonts w:ascii="Times New Roman;Times;Serif" w:hAnsi="Times New Roman;Times;Serif"/>
          <w:b/>
          <w:i w:val="false"/>
          <w:caps w:val="false"/>
          <w:smallCaps w:val="false"/>
          <w:sz w:val="20"/>
        </w:rPr>
        <w:t xml:space="preserve">Singapore </w:t>
      </w:r>
      <w:bookmarkStart w:id="27" w:name="xdx_905_edei--EntityAddressPostalZipCode"/>
      <w:bookmarkEnd w:id="27"/>
      <w:r>
        <w:rPr>
          <w:rFonts w:ascii="Times New Roman;Times;Serif" w:hAnsi="Times New Roman;Times;Serif"/>
          <w:b/>
          <w:i w:val="false"/>
          <w:caps w:val="false"/>
          <w:smallCaps w:val="false"/>
          <w:sz w:val="20"/>
        </w:rPr>
        <w:t>569880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w:t>
      </w:r>
      <w:bookmarkStart w:id="28" w:name="xdx_90A_edei--SecurityReportingObligatio"/>
      <w:bookmarkEnd w:id="28"/>
      <w:r>
        <w:rPr>
          <w:rFonts w:ascii="Times New Roman;Times;Serif" w:hAnsi="Times New Roman;Times;Serif"/>
          <w:b w:val="false"/>
          <w:i w:val="false"/>
          <w:caps w:val="false"/>
          <w:smallCaps w:val="false"/>
          <w:sz w:val="20"/>
        </w:rPr>
        <w:t>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par value US$0.00225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outstanding shares of each of the issuer’s classes of capital or common stock as of December 31, 2025, after giving retrospective effect to the subsequent share re-designation and reverse share splits effected on January 23, 2026, February 12, 2026 and May 4, 2026, was 18,427.00 Class A ordinary shares and 19,350.78 Class B ordinary shares, each with a par value of US$0.00225 per share, representing an aggregate of 37,777.78 ordinary 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retrospective effect of the subsequent share re-designation and reverse share splits, the Company had </w:t>
      </w:r>
      <w:bookmarkStart w:id="29" w:name="xdx_90D_edei--EntityCommonStockSharesOut"/>
      <w:bookmarkEnd w:id="29"/>
      <w:r>
        <w:rPr>
          <w:rFonts w:ascii="Times New Roman;Times;Serif" w:hAnsi="Times New Roman;Times;Serif"/>
          <w:b w:val="false"/>
          <w:i w:val="false"/>
          <w:caps w:val="false"/>
          <w:smallCaps w:val="false"/>
          <w:sz w:val="20"/>
        </w:rPr>
        <w:t>17,000,000 ordinary shares outstanding with a par value of US$</w:t>
      </w:r>
      <w:bookmarkStart w:id="30" w:name="xdx_905_edei--EntityListingParValuePerSh"/>
      <w:bookmarkEnd w:id="30"/>
      <w:r>
        <w:rPr>
          <w:rFonts w:ascii="Times New Roman;Times;Serif" w:hAnsi="Times New Roman;Times;Serif"/>
          <w:b w:val="false"/>
          <w:i w:val="false"/>
          <w:caps w:val="false"/>
          <w:smallCaps w:val="false"/>
          <w:sz w:val="20"/>
        </w:rPr>
        <w:t>0.000005 per share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outstanding shares of each of the issuer’s classes of capital or common stock as of June 11, 2026, was 1,299,391 Class A ordinary shares and 19,351 Class B ordinary shares, each with a par value of US$0.00225 per share, representing an aggregate of 1,318,742 ordinary 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1" w:name="xdx_90C_edei--EntityWellKnownSeasonedIss"/>
      <w:bookmarkEnd w:id="31"/>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2" w:name="xdx_907_edei--EntityVoluntaryFilers_c202"/>
      <w:bookmarkEnd w:id="3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33" w:name="xdx_903_edei--EntityCurrentReportingStat"/>
      <w:bookmarkEnd w:id="3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4" w:name="xdx_90E_edei--EntityInteractiveDataCurre"/>
      <w:bookmarkEnd w:id="3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or a non-accelerated filer. See definition of “accelerated filer and large accelerated filer” in Rule 12b-2 of the Exchange Act. (Check one):</w:t>
      </w:r>
    </w:p>
    <w:p>
      <w:pPr>
        <w:pStyle w:val="TextBody"/>
        <w:bidi w:val="0"/>
        <w:spacing w:before="0" w:after="0"/>
        <w:ind w:left="0" w:right="0" w:hanging="0"/>
        <w:jc w:val="center"/>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 w:name="xdx_90F_edei--EntityFilerCategory_c20250"/>
            <w:bookmarkEnd w:id="3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6" w:name="xdx_903_edei--EntityEmergingGrowthCompan"/>
            <w:bookmarkEnd w:id="36"/>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7" w:name="xdx_906_edei--EntityExTransitionPeriod_c"/>
      <w:bookmarkEnd w:id="3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891"/>
        <w:gridCol w:w="230"/>
        <w:gridCol w:w="8123"/>
        <w:gridCol w:w="230"/>
        <w:gridCol w:w="486"/>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 w:name="xdx_905_edei--DocumentAccountingStandard"/>
            <w:bookmarkEnd w:id="38"/>
            <w:r>
              <w:rPr>
                <w:rFonts w:ascii="Times New Roman;Times;Serif" w:hAnsi="Times New Roman;Times;Serif"/>
                <w:b w:val="false"/>
                <w:i w:val="false"/>
                <w:caps w:val="false"/>
                <w:smallCaps w:val="false"/>
                <w:sz w:val="20"/>
              </w:rPr>
              <w:t>U.S. GAAP</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of assessment of the effectiveness of its internal control over financial reporting under Section 404(b) of the Sarbanes-Oxley Act (15 U.S.C. 7262 (b)) by the registered public accounting firm that prepared or issued its audit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w:t>
      </w:r>
      <w:bookmarkStart w:id="39" w:name="xdx_904_edei--IcfrAuditorAttestationFlag"/>
      <w:bookmarkEnd w:id="3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0" w:name="xdx_905_edei--DocumentFinStmtErrorCorrec"/>
      <w:bookmarkEnd w:id="40"/>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w:t>
      </w:r>
      <w:bookmarkStart w:id="41" w:name="xdx_905_edei--EntityShellCompany_dbF_c20"/>
      <w:bookmarkEnd w:id="4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 (d) of the Securities Exchange Act of 1934 subsequent to the distribution of securities under a plan confirmed by a court: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 w:name="xdx_90A_edei--AmendmentDescription_c2025"/>
      <w:bookmarkEnd w:id="42"/>
      <w:r>
        <w:rPr>
          <w:rFonts w:ascii="Times New Roman;Times;Serif" w:hAnsi="Times New Roman;Times;Serif"/>
          <w:b w:val="false"/>
          <w:i w:val="false"/>
          <w:caps w:val="false"/>
          <w:smallCaps w:val="false"/>
          <w:sz w:val="20"/>
        </w:rPr>
        <w:t>Fitness Champs Holdings Limited (the “Company”) is filing this Amendment No. 2 to its Annual Report on Form 20-F originally filed with the Securities and Exchange Commission on 15 May 2026, as was amended on May 22, 2026 by Amendment No. 1 to update certain disclosures relating to the Company’s issued and outstanding share capital (as amended, the “Existing Filing”.</w:t>
      </w:r>
    </w:p>
    <w:p>
      <w:pPr>
        <w:pStyle w:val="TextBody"/>
        <w:bidi w:val="0"/>
        <w:spacing w:before="0" w:after="0"/>
        <w:ind w:left="0" w:right="0" w:hanging="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Amendment No. 2 solely to add the Company’s Compensation Recoupment Policy, filed herewith as Exhibit 97.1.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other changes have been made to the Exisiting Filing. This Amendment No. 2 does not otherwise update, amend or modify any other information contained in the Original Filing. As required by Rule 12b-15 of the Securities and Exchange Act of 1934, as amended, the Company is also filing or furnishing the certifications required under Section 302 and Section 906 of the Sarbanes-Oxley Act of 2002 as exhibits to this Amendment No.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3" w:name="xdx_C04_gIFAD-KOJZPCU_zoQ5IYTKkDbi"/>
      <w:bookmarkEnd w:id="43"/>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smallCaps/>
          <w:sz w:val="20"/>
        </w:rPr>
      </w:pPr>
      <w:r>
        <w:rPr>
          <w:rFonts w:ascii="Times New Roman;Times;Serif" w:hAnsi="Times New Roman;Times;Serif"/>
          <w:b/>
          <w:i w:val="false"/>
          <w:smallCaps/>
          <w:sz w:val="20"/>
        </w:rPr>
        <w:t>Item 19. Exhibits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
        <w:gridCol w:w="60"/>
        <w:gridCol w:w="9486"/>
      </w:tblGrid>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Second Amended and Restated Memorandum of Association and Form of Amended and Restated Articles of Association</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Description of Securities</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Subsidiaries</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of the Chief Executive Officer (Principal Executive Officer) pursuant to Rule 13a-14(a) of the Securities Exchange Act, as amended.</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of the Chief Financial Officer (Principal Financial Officer) pursuant to Rule 13a-14(a) of the Securities Exchange Act, as amended.</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of the Chief Executive Officer and Chief Financial Officer pursuant to 18 U.S.C. 1350, as adopted pursuant to Section 906 of the Sarbanes-Oxley Act of 2002.</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Fitness Champs Holdings Limited Compensation and Recoupment Policy</w:t>
              </w:r>
            </w:hyperlink>
          </w:p>
        </w:tc>
      </w:tr>
      <w:tr>
        <w:trPr/>
        <w:tc>
          <w:tcPr>
            <w:tcW w:w="6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r>
      <w:tr>
        <w:trPr/>
        <w:tc>
          <w:tcPr>
            <w:tcW w:w="6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r>
      <w:tr>
        <w:trPr/>
        <w:tc>
          <w:tcPr>
            <w:tcW w:w="6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r>
      <w:tr>
        <w:trPr/>
        <w:tc>
          <w:tcPr>
            <w:tcW w:w="6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r>
      <w:tr>
        <w:trPr/>
        <w:tc>
          <w:tcPr>
            <w:tcW w:w="6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*Denotes exhibits that have been previously filed.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as amended by Amendment No.2 thereto, and that it has duly caused and authorized the undersigned to sign this annual report on its behalf.</w:t>
      </w:r>
    </w:p>
    <w:p>
      <w:pPr>
        <w:pStyle w:val="TextBody"/>
        <w:bidi w:val="0"/>
        <w:spacing w:before="0" w:after="0"/>
        <w:ind w:left="0" w:right="0" w:hanging="0"/>
        <w:jc w:val="center"/>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649"/>
        <w:gridCol w:w="2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Fitness Champs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2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2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Controller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2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p>
        </w:tc>
        <w:tc>
          <w:tcPr>
            <w:tcW w:w="214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June 11, 2026</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4" w:name="ex12-1.htm"/>
      <w:bookmarkStart w:id="45" w:name="ksex121"/>
      <w:bookmarkEnd w:id="44"/>
      <w:bookmarkEnd w:id="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Joyce Lee Jue Hui,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6"/>
        <w:gridCol w:w="10049"/>
      </w:tblGrid>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as amended by Amendment No.2, of Fitness Champs Holdings Limited (the “Company”);</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3"/>
        <w:gridCol w:w="9927"/>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8"/>
        <w:gridCol w:w="10047"/>
      </w:tblGrid>
      <w:tr>
        <w:trPr/>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11"/>
        <w:gridCol w:w="9919"/>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45" w:right="0" w:hanging="2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2026</w:t>
      </w:r>
    </w:p>
    <w:p>
      <w:pPr>
        <w:pStyle w:val="TextBody"/>
        <w:bidi w:val="0"/>
        <w:spacing w:before="0" w:after="0"/>
        <w:ind w:left="0" w:right="0" w:hanging="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6" w:name="ex12-2.htm"/>
      <w:bookmarkStart w:id="47" w:name="ksex122"/>
      <w:bookmarkEnd w:id="46"/>
      <w:bookmarkEnd w:id="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Chia Nyoke Yee,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6"/>
        <w:gridCol w:w="10049"/>
      </w:tblGrid>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as amended by Amendment No.2, of Fitness Champs Holdings Limited (the “Company”);</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4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03"/>
        <w:gridCol w:w="9927"/>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58"/>
        <w:gridCol w:w="10047"/>
      </w:tblGrid>
      <w:tr>
        <w:trPr/>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11"/>
        <w:gridCol w:w="9919"/>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245" w:right="0" w:hanging="245"/>
        <w:jc w:val="both"/>
        <w:rPr>
          <w:caps w:val="false"/>
          <w:smallCaps w:val="false"/>
        </w:rPr>
      </w:pPr>
      <w:r>
        <w:rPr>
          <w:caps w:val="false"/>
          <w:smallCaps w:val="false"/>
        </w:rPr>
        <w:t> </w:t>
      </w:r>
    </w:p>
    <w:p>
      <w:pPr>
        <w:pStyle w:val="TextBody"/>
        <w:bidi w:val="0"/>
        <w:spacing w:before="0" w:after="0"/>
        <w:ind w:left="245" w:right="0" w:hanging="2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2026</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545"/>
        <w:gridCol w:w="1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Controller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 w:name="ex13-1.htm"/>
      <w:bookmarkStart w:id="49" w:name="ksex131"/>
      <w:bookmarkEnd w:id="48"/>
      <w:bookmarkEnd w:id="4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set forth below is being submitted in connection with the special report of Fitness Champs Holdings Limited on Form 20-F, as amended by Amendment No.2, as filed with the U.S. Securities and Exchange Commission on the date hereof (the “Report”) for the purpose of complying with Rule 13a-14(b) or Rule 15d-14(b) of the United States Securities Exchange Act of 1934 (the “Exchange Act”) and Section 1350 of Chapter 63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Lee Jue Hui, Chief Executive Officer, and Chia Nyoke Yee, Financial Controller of Fitness Champs Holdings Limited, each certifies that, to the best of her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57"/>
        <w:gridCol w:w="9973"/>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Exchange Act;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7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Fitness Champs Holdings Limited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45" w:right="0" w:hanging="2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11, 2026</w:t>
      </w:r>
    </w:p>
    <w:p>
      <w:pPr>
        <w:pStyle w:val="TextBody"/>
        <w:bidi w:val="0"/>
        <w:spacing w:before="0" w:after="0"/>
        <w:ind w:left="0" w:right="0" w:hanging="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Lee Jue Hui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545"/>
        <w:gridCol w:w="1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Chia Nyoke 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Controller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0" w:name="ex97-1.htm"/>
      <w:bookmarkStart w:id="51" w:name="ksex971"/>
      <w:bookmarkEnd w:id="50"/>
      <w:bookmarkEnd w:id="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FITNESS CHAMPS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RECOUPMENT POLICY</w:t>
      </w:r>
    </w:p>
    <w:p>
      <w:pPr>
        <w:pStyle w:val="TextBody"/>
        <w:bidi w:val="0"/>
        <w:spacing w:before="0" w:after="0"/>
        <w:ind w:left="0" w:right="0" w:hanging="0"/>
        <w:jc w:val="center"/>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w:t>
            </w:r>
          </w:p>
        </w:tc>
        <w:tc>
          <w:tcPr>
            <w:tcW w:w="16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Purpose and Scope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believes that it is in the best interests of Fitness Champs Holdings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its stockholders to create and maintain a culture that emphasizes integrity and accountability and that reinforces the Company’s pay-for-performance compensation philosophy. The Board has therefore adopted this compensation recoupment policy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which provides for the recovery of erroneously awarded incentive compensation from the Company’s executive officers in the event of a Triggering Event (as defined below).</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w:t>
            </w:r>
          </w:p>
        </w:tc>
        <w:tc>
          <w:tcPr>
            <w:tcW w:w="131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Administration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designed to comply with Section 10D of the Exchange Act, Rule 10D-1, Nasdaq Listing Rule 5608 and other regulations, rules and guidance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thereunder, and related securities regulations and regulations of the stock exchange or association on which Company’s common shares are listed. This Policy shall be administered by the Compensation Committee of the Board (the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determinations made by the Committee shall be final and binding. In addition, the Company shall file all disclosures with respect to this Policy in accordance with Rule 10D of the Exchange Act a4888-3223-6951.1nd Rule 10D-1 promulgated by the SEC thereunder, including the disclosures required by the applicable SEC regulations, and with the disclosure required by any rules or standards adopted by the national securities exchange on which the Company’s securities are listed. The Committee hereby has the power and authority to enforce the terms and conditions of this Policy and to use any and all of the Company’s resources it deems appropriate to recoup any excess Incentive Compensation subject to this Policy.</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90"/>
        <w:gridCol w:w="170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III.</w:t>
            </w:r>
          </w:p>
        </w:tc>
        <w:tc>
          <w:tcPr>
            <w:tcW w:w="17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Covered Executives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Covered Executives, as determined by the Committee in accordance with Section 10D of the Exchange Act, Rule 10D-1 promulgated by the SEC thereunder and the listing standards of the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75"/>
        <w:gridCol w:w="4430"/>
      </w:tblGrid>
      <w:tr>
        <w:trPr/>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IV.</w:t>
            </w:r>
          </w:p>
        </w:tc>
        <w:tc>
          <w:tcPr>
            <w:tcW w:w="44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Event That Triggers Recoupment Under This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Committee will be required to recoup any excess Incentive Compensation “received” by any Covered Executive during the three (3) completed fiscal years (together with any intermittent stub fiscal year period(s) of less than nine (9) months resulting from Company’s transition to different fiscal year measurement dates) immediately preceding the date the Company is deemed (as determined pursuant to the immediately following sentence) to be required to prepare an accounting restatement of its financial statements (the “</w:t>
      </w:r>
      <w:r>
        <w:rPr>
          <w:rFonts w:ascii="Times New Roman;Times;Serif" w:hAnsi="Times New Roman;Times;Serif"/>
          <w:b w:val="false"/>
          <w:i w:val="false"/>
          <w:caps w:val="false"/>
          <w:smallCaps w:val="false"/>
          <w:sz w:val="20"/>
          <w:u w:val="single"/>
        </w:rPr>
        <w:t>Three-Year Recovery Period</w:t>
      </w:r>
      <w:r>
        <w:rPr>
          <w:rFonts w:ascii="Times New Roman;Times;Serif" w:hAnsi="Times New Roman;Times;Serif"/>
          <w:b w:val="false"/>
          <w:i w:val="false"/>
          <w:caps w:val="false"/>
          <w:smallCaps w:val="false"/>
          <w:sz w:val="20"/>
        </w:rPr>
        <w:t>”) irrespective of any fault, misconduct or responsibility of such Covered Executive for the accounting restatement of the Company’s financial statements. For purposes of the immediately preceding sentence, the Company is deemed to be required to prepare an accounting restatement of its financial statements on the earlier of: (A) the date upon which the Board or Committee, or the officer or officers of the Company authorized to take 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 (a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00"/>
        <w:gridCol w:w="5180"/>
      </w:tblGrid>
      <w:tr>
        <w:trPr/>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w:t>
            </w:r>
          </w:p>
        </w:tc>
        <w:tc>
          <w:tcPr>
            <w:tcW w:w="518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Excess Incentive Compensation: Amount Subject to Recovery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Incentive Compensation to be recovered shall be the excess of the Incentive Compensation “received” by the Covered Executive over the amount of Incentive Compensation which would have been received by the Covered Executive had the amount of such Incentive Compensation been calculated based on the restated amounts, as determined by the Committee. For purposes of this Policy, Incentive Compensation shall be deemed “received”, either wholly or in part, in the fiscal year during which any applicable Financial Reporting Measure is attained (or with respect to, or based on, the achievement of any Financial Reporting Measure which such Incentive Compensation was granted, earned or vested, as applicable), even if the payment, vesting or grant of such Incentive Compensation occurs after the end of such fiscal year. Amounts required to be recouped under this Policy will be calculated on a pre-tax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specifically understood that, to the extent that the impact of the accounting restatement on the amount of Incentive Compensation received cannot be calculated directly from the information in the accounting restatement (for example, if such restatement’s impact on the Company’s share price is not clear), then such excess amount of Incentive Compensation shall be determined based on the Committee’s reasonable estimate of the effect of the accounting restatement on the share price or total shareholder return upon which the Incentive Compensation was received. The Company shall maintain documentation for the determination of such excess amount and provide such documentation to the Nasdaq Stock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as may be required.</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w:t>
            </w:r>
          </w:p>
        </w:tc>
        <w:tc>
          <w:tcPr>
            <w:tcW w:w="17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Method of Recovery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determine, in its sole discretion, the methods for recovering excess Incentive Compensation hereunder, which methods may include, without limitation:</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reimbursement of cash Incentive Compensation previously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recovery of any gain realized on the vesting, exercise, settlement, sale, transfer, or other disposition of any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offsetting the recouped amount from any compensation otherwise owed or to be owed by the Company to the Covered Executive to the extent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cancelling outstanding vested or unvested equity awards;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any other remedial and recovery action permitted by law, as determined by the Committee.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50"/>
        <w:gridCol w:w="1415"/>
      </w:tblGrid>
      <w:tr>
        <w:trPr/>
        <w:tc>
          <w:tcPr>
            <w:tcW w:w="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VII.</w:t>
            </w:r>
          </w:p>
        </w:tc>
        <w:tc>
          <w:tcPr>
            <w:tcW w:w="14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Impracticability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recover any excess Incentive Compensation in accordance with this Policy unless such recovery would be impracticable, as determined by the Committee in accordance with Rule 10D-1 of the Exchange Act and the listing standards of the stock exchange or association on which the Company’s securities are listed. It is specifically understood that recovery will only be deemed impractical if: (A) the direct expense paid to a third party to assist in enforcing the policy would exceed the amount to be recovered (before concluding that it would be impracticable to recover any amount of erroneously awarded Incentive Compensation based on the expense of enforcement, the Committee shall make a reasonable attempt to recover such erroneously awarded Incentive Compensation, document such reasonable attempt(s) to recover, and provide that documentation to the stock exchange or association on which the Company’s common shares are trading); (B) recovery would violate home country law where that law was adopted prior to November 28, 2022 (before concluding that it would be impracticable to recover any amount of erroneously awarded Incentive Compensation based on violation of home country law, the Committee shall obtain an opinion of home country legal counsel, acceptable to the applicable stock exchange or association on which Company’s common shares are listed, that recovery would result in such a violation, and must provide such opinion to Nasdaq as may be required); or (C) recovery would likely cause an otherwise tax-qualified retirement plan, under which benefits are broadly available to employees of the registrant, to fail to meet the requirements of 26 U.S.C. 401(a)(13) or 26 U.S.C. 411(a), and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425"/>
        <w:gridCol w:w="3845"/>
      </w:tblGrid>
      <w:tr>
        <w:trPr/>
        <w:tc>
          <w:tcPr>
            <w:tcW w:w="4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VIII.</w:t>
            </w:r>
          </w:p>
        </w:tc>
        <w:tc>
          <w:tcPr>
            <w:tcW w:w="384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Other Recoupment Rights; Acknowledgement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The Company shall provide notice and seek written acknowledgement of this Policy from each Covered Executive;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failure to provide such notice or obtain such acknowledgement shall have no impact on the applicability or enforceability of this Policy.</w:t>
      </w:r>
    </w:p>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IX.</w:t>
            </w:r>
          </w:p>
        </w:tc>
        <w:tc>
          <w:tcPr>
            <w:tcW w:w="41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No Indemnification or Company-Paid Insurance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excess Incentive Compensation. In addition, the Company will be prohibited from paying or reimbursing a Covered Executive for premiums of any third-party insurance purchased to fund any potential recovery obligations.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00"/>
        <w:gridCol w:w="3830"/>
      </w:tblGrid>
      <w:tr>
        <w:trPr/>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X.</w:t>
            </w:r>
          </w:p>
        </w:tc>
        <w:tc>
          <w:tcPr>
            <w:tcW w:w="38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Amendment and Termination; 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reflect and comply with further regulations, rules and guidance of the SEC, and rules of the stock exchange or association on which Company’s common shares are listed. The Board may terminate this Policy at any time. The Committee is authorized to interpret and construe this Policy and to make all determinations necessary, appropriate, or advisable for the administration of this Policy. This Policy is designed and intended be interpreted in a manner that is consistent with the requirements of Section 10D of the Exchange Act, Rule 10D-1 and other regulations, rules and guidance of the SEC thereunder, and related securities regulations and regulations of the stock exchange or association on which Company’s common shares are listed. To the extent of any inconsistency between this Policy and such regulations, rules and guidance, such regulations, rules and guidance shall control and this Policy shall be deemed amended to incorporate such regulations, rules and guidance unless the Board or the Committee shall expressly determine otherwise. This Policy shall be applicable, binding and enforceable against all Covered Executives and their beneficiaries, heirs, executors, administrators or other legal representatives, to the fullest extent of the law.</w:t>
      </w:r>
    </w:p>
    <w:p>
      <w:pPr>
        <w:pStyle w:val="TextBody"/>
        <w:bidi w:val="0"/>
        <w:spacing w:before="0" w:after="0"/>
        <w:ind w:left="0" w:right="0" w:hanging="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75"/>
        <w:gridCol w:w="935"/>
      </w:tblGrid>
      <w:tr>
        <w:trPr/>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XI.</w:t>
            </w:r>
          </w:p>
        </w:tc>
        <w:tc>
          <w:tcPr>
            <w:tcW w:w="93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terms shall have the following meanings:</w:t>
      </w:r>
    </w:p>
    <w:p>
      <w:pPr>
        <w:pStyle w:val="TextBody"/>
        <w:bidi w:val="0"/>
        <w:spacing w:before="0" w:after="0"/>
        <w:ind w:left="720" w:right="0" w:hanging="36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41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Fitness Champs Holdings Limited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Covered Accounting Restatement</w:t>
            </w:r>
            <w:r>
              <w:rPr>
                <w:rFonts w:ascii="Times New Roman;Times;Serif" w:hAnsi="Times New Roman;Times;Serif"/>
                <w:b w:val="false"/>
                <w:i w:val="false"/>
                <w:caps w:val="false"/>
                <w:smallCaps w:val="false"/>
                <w:sz w:val="20"/>
              </w:rPr>
              <w:t>” is any accounting restatement of the Company’s financial statements due to the Company’s material noncompliance with any financial reporting requirement under U.S. securities laws. A Covered Accounting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 A Covered Accounting Restatement does not include an out-of-period adjustment when the error is immaterial to the previously issued financial statements, and the correction of the error is also immaterial to the current period; a permitted retrospective application of a change in accounting principle or a required adoption of a new accounting policy; retrospective revision to reportable segment information due to a change in the structure of an issuer’s internal organization; retrospective reclassification due to a discontinued operation; retrospective application of a change in reporting entity, such as from a reverse recapitalization or reorganization of entities under common control; and retrospective revision for stock splits, reverse stock splits, stock dividends or distributions, or other changes in capital structure.</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Executive</w:t>
            </w:r>
            <w:r>
              <w:rPr>
                <w:rFonts w:ascii="Times New Roman;Times;Serif" w:hAnsi="Times New Roman;Times;Serif"/>
                <w:b w:val="false"/>
                <w:i w:val="false"/>
                <w:caps w:val="false"/>
                <w:smallCaps w:val="false"/>
                <w:sz w:val="20"/>
              </w:rPr>
              <w:t>” means any person who:</w:t>
            </w:r>
          </w:p>
        </w:tc>
      </w:tr>
    </w:tbl>
    <w:p>
      <w:pPr>
        <w:pStyle w:val="TextBody"/>
        <w:bidi w:val="0"/>
        <w:spacing w:before="0" w:after="0"/>
        <w:ind w:left="720"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55"/>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received applicable Incentive Compensation:</w:t>
            </w:r>
          </w:p>
        </w:tc>
      </w:tr>
    </w:tbl>
    <w:p>
      <w:pPr>
        <w:pStyle w:val="TextBody"/>
        <w:bidi w:val="0"/>
        <w:spacing w:before="0" w:after="283"/>
        <w:jc w:val="left"/>
        <w:rPr/>
      </w:pPr>
      <w:r>
        <w:rPr/>
        <w:t> </w:t>
      </w:r>
    </w:p>
    <w:tbl>
      <w:tblPr>
        <w:tblW w:w="4488" w:type="dxa"/>
        <w:jc w:val="left"/>
        <w:tblInd w:w="0" w:type="dxa"/>
        <w:tblLayout w:type="fixed"/>
        <w:tblCellMar>
          <w:top w:w="0" w:type="dxa"/>
          <w:left w:w="0" w:type="dxa"/>
          <w:bottom w:w="0" w:type="dxa"/>
          <w:right w:w="0" w:type="dxa"/>
        </w:tblCellMar>
      </w:tblPr>
      <w:tblGrid>
        <w:gridCol w:w="38"/>
        <w:gridCol w:w="18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Three-Year Recovery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beginning service as an Executive Officer; and</w:t>
            </w:r>
          </w:p>
        </w:tc>
      </w:tr>
    </w:tbl>
    <w:p>
      <w:pPr>
        <w:pStyle w:val="TextBody"/>
        <w:bidi w:val="0"/>
        <w:spacing w:before="0" w:after="283"/>
        <w:jc w:val="left"/>
        <w:rPr/>
      </w:pPr>
      <w:r>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as an Executive Officer at any time during the performance period for such Incentive Compensation.</w:t>
            </w:r>
          </w:p>
        </w:tc>
      </w:tr>
    </w:tbl>
    <w:p>
      <w:pPr>
        <w:pStyle w:val="TextBody"/>
        <w:bidi w:val="0"/>
        <w:spacing w:before="0" w:after="0"/>
        <w:ind w:left="72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5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the Policy is adopted by the Board.</w:t>
            </w:r>
          </w:p>
        </w:tc>
      </w:tr>
    </w:tbl>
    <w:p>
      <w:pPr>
        <w:pStyle w:val="TextBody"/>
        <w:bidi w:val="0"/>
        <w:spacing w:before="0" w:after="0"/>
        <w:ind w:left="72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Executive Officer(s)</w:t>
            </w:r>
            <w:r>
              <w:rPr>
                <w:rFonts w:ascii="Times New Roman;Times;Serif" w:hAnsi="Times New Roman;Times;Serif"/>
                <w:b w:val="false"/>
                <w:i w:val="false"/>
                <w:caps w:val="false"/>
                <w:smallCaps w:val="false"/>
                <w:sz w:val="20"/>
              </w:rPr>
              <w:t>” means an “executive officer” as defined in Exchange Act Rule 10D-1(d), and includes any person who is the Company’s Chief Executive Officer, President, Principal Financial Officer, Principal Accounting Officer (or if there is no such financial or accounting officer, the controller), any Vice President of the issuer in charge of a principal business unit, division, or function (such as sales, administration, or finance), any other officer who performs a policy-making function, or any other person who performs similar policy-making functions for the Company (with any executive officers of the Company’s parent or subsidiaries being deemed Covered Executives of the Company if they perform such policy making functions for the Company). All executive officers of the Company identified by the Board pursuant to 17 CFR 229.401(b) shall be deemed “Executive Officers”.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3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Reporting Measure(s)</w:t>
            </w:r>
            <w:r>
              <w:rPr>
                <w:rFonts w:ascii="Times New Roman;Times;Serif" w:hAnsi="Times New Roman;Times;Serif"/>
                <w:b w:val="false"/>
                <w:i w:val="false"/>
                <w:caps w:val="false"/>
                <w:smallCaps w:val="false"/>
                <w:sz w:val="20"/>
              </w:rPr>
              <w:t>” means any measures that are determined and presented in accordance with the accounting principles used in preparing the Company’s financial statements, and any measure that is derived wholly or in part from such measures, including share price and total shareholder return, and also including, but not limited to, financial reporting measures such as “non-GAAP financial measures” for purposes of Exchange Act Regulation G and 17 CFR 229.10, as well other measures, metrics and ratios that are not non-GAAP measures, such as same store sales. Financial Reporting Measures may or may not be included in a filing with the SEC, and may be presented outside the Company’s financial statements, such as in Management’s Discussion and Analysis of Financial Conditions and Results of Operations or the performance graph. Financial Reporting Measures include, without limitation:</w:t>
            </w:r>
          </w:p>
        </w:tc>
      </w:tr>
    </w:tbl>
    <w:p>
      <w:pPr>
        <w:pStyle w:val="TextBody"/>
        <w:bidi w:val="0"/>
        <w:spacing w:before="0" w:after="0"/>
        <w:ind w:left="72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market capitalization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interest, taxes, depreciation, and amortization (EBITDA)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measures such as working capital or operating cash flow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measures such as return on invested capital or return on assets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measures such as earnings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measures applicable to the Company’s research and development and clinical trial activities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Compensation</w:t>
            </w:r>
            <w:r>
              <w:rPr>
                <w:rFonts w:ascii="Times New Roman;Times;Serif" w:hAnsi="Times New Roman;Times;Serif"/>
                <w:b w:val="false"/>
                <w:i w:val="false"/>
                <w:caps w:val="false"/>
                <w:smallCaps w:val="false"/>
                <w:sz w:val="20"/>
              </w:rPr>
              <w:t>” means any compensation which (A) was approved, awarded or granted to, or earned by a Covered Executive while the Company has a class of securities listed on a national securities exchange or a national securities association, and (B) approved, awarded or granted to, or earned by the Covered Executive following on or after the Effective Date (including any award under any long-term or short-term incentive compensation plan of the Company, including any other short-term or long-term cash or equity incentive award or any other payment) that, in each case, is granted, earned, or vested based wholly or in part upon the attainment of any Financial Reporting Measure (i.e., any measures that are determined and presented in accordance with the accounting principles used in preparing the Company’s financial statements, and any measure that is derived wholly or in part from such measures, including share price and total shareholder return). Incentive Compensation may include (but is not limited to) any of the following:</w:t>
            </w:r>
          </w:p>
        </w:tc>
      </w:tr>
    </w:tbl>
    <w:p>
      <w:pPr>
        <w:pStyle w:val="TextBody"/>
        <w:bidi w:val="0"/>
        <w:spacing w:before="0" w:after="0"/>
        <w:ind w:left="72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and other short-term and long-term cash incentives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units</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796/000149315226012406/ex3-1.htm" TargetMode="External"/><Relationship Id="rId3" Type="http://schemas.openxmlformats.org/officeDocument/2006/relationships/hyperlink" Target="https://www.sec.gov/Archives/edgar/data/2023796/000149315226023516/ex2-1.htm" TargetMode="External"/><Relationship Id="rId4" Type="http://schemas.openxmlformats.org/officeDocument/2006/relationships/hyperlink" Target="https://www.sec.gov/Archives/edgar/data/2023796/000149315226012406/ex21-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5008</Words>
  <Characters>27594</Characters>
  <CharactersWithSpaces>32573</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